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CF0B5" w14:textId="0DBD9061" w:rsidR="00B838C5" w:rsidRDefault="003A4A32">
      <w:pPr>
        <w:rPr>
          <w:rFonts w:ascii="Century Gothic" w:hAnsi="Century Gothic"/>
          <w:b/>
          <w:bCs/>
          <w:color w:val="595959" w:themeColor="text1" w:themeTint="A6"/>
          <w:sz w:val="44"/>
          <w:szCs w:val="44"/>
        </w:rPr>
      </w:pPr>
      <w:r w:rsidRPr="00F840C3">
        <w:rPr>
          <w:rFonts w:ascii="Century Gothic" w:hAnsi="Century Gothic"/>
          <w:b/>
          <w:bCs/>
          <w:noProof/>
          <w:color w:val="595959" w:themeColor="text1" w:themeTint="A6"/>
          <w:sz w:val="44"/>
          <w:szCs w:val="44"/>
        </w:rPr>
        <w:drawing>
          <wp:anchor distT="0" distB="0" distL="114300" distR="114300" simplePos="0" relativeHeight="251664896" behindDoc="0" locked="0" layoutInCell="1" allowOverlap="1" wp14:anchorId="369B0F5D" wp14:editId="612CEEFD">
            <wp:simplePos x="0" y="0"/>
            <wp:positionH relativeFrom="column">
              <wp:posOffset>5181438</wp:posOffset>
            </wp:positionH>
            <wp:positionV relativeFrom="paragraph">
              <wp:posOffset>0</wp:posOffset>
            </wp:positionV>
            <wp:extent cx="3910492" cy="542925"/>
            <wp:effectExtent l="0" t="0" r="1270" b="3175"/>
            <wp:wrapNone/>
            <wp:docPr id="1206858382" name="Picture 2" descr="A green sign with white tex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382" name="Picture 2" descr="A green sign with white text&#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919448" cy="544168"/>
                    </a:xfrm>
                    <a:prstGeom prst="rect">
                      <a:avLst/>
                    </a:prstGeom>
                  </pic:spPr>
                </pic:pic>
              </a:graphicData>
            </a:graphic>
            <wp14:sizeRelH relativeFrom="margin">
              <wp14:pctWidth>0</wp14:pctWidth>
            </wp14:sizeRelH>
            <wp14:sizeRelV relativeFrom="margin">
              <wp14:pctHeight>0</wp14:pctHeight>
            </wp14:sizeRelV>
          </wp:anchor>
        </w:drawing>
      </w:r>
      <w:r w:rsidR="00F462A7">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2A460DF8">
            <wp:simplePos x="0" y="0"/>
            <wp:positionH relativeFrom="column">
              <wp:posOffset>1892300</wp:posOffset>
            </wp:positionH>
            <wp:positionV relativeFrom="paragraph">
              <wp:posOffset>495300</wp:posOffset>
            </wp:positionV>
            <wp:extent cx="7199949"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199949"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D7" w:rsidRPr="00F840C3">
        <w:rPr>
          <w:rFonts w:ascii="Century Gothic" w:hAnsi="Century Gothic"/>
          <w:b/>
          <w:bCs/>
          <w:noProof/>
          <w:color w:val="595959" w:themeColor="text1" w:themeTint="A6"/>
          <w:sz w:val="44"/>
          <w:szCs w:val="44"/>
        </w:rPr>
        <w:t xml:space="preserve">BASIC STRATEGIC PLAN </w:t>
      </w:r>
      <w:r w:rsidR="00F462A7">
        <w:rPr>
          <w:rFonts w:ascii="Century Gothic" w:hAnsi="Century Gothic"/>
          <w:b/>
          <w:bCs/>
          <w:noProof/>
          <w:color w:val="595959" w:themeColor="text1" w:themeTint="A6"/>
          <w:sz w:val="44"/>
          <w:szCs w:val="44"/>
        </w:rPr>
        <w:br/>
      </w:r>
      <w:r w:rsidR="000D0FD7" w:rsidRPr="00F840C3">
        <w:rPr>
          <w:rFonts w:ascii="Century Gothic" w:hAnsi="Century Gothic"/>
          <w:b/>
          <w:bCs/>
          <w:noProof/>
          <w:color w:val="595959" w:themeColor="text1" w:themeTint="A6"/>
          <w:sz w:val="44"/>
          <w:szCs w:val="44"/>
        </w:rPr>
        <w:t xml:space="preserve">TEMPLATE </w:t>
      </w:r>
      <w:r w:rsidR="00F462A7">
        <w:rPr>
          <w:rFonts w:ascii="Century Gothic" w:hAnsi="Century Gothic"/>
          <w:b/>
          <w:bCs/>
          <w:noProof/>
          <w:color w:val="595959" w:themeColor="text1" w:themeTint="A6"/>
          <w:sz w:val="44"/>
          <w:szCs w:val="44"/>
        </w:rPr>
        <w:t>EXAMPLE</w:t>
      </w:r>
      <w:r w:rsidR="000D0FD7" w:rsidRPr="00F840C3">
        <w:rPr>
          <w:rFonts w:ascii="Century Gothic" w:hAnsi="Century Gothic"/>
          <w:b/>
          <w:bCs/>
          <w:noProof/>
          <w:color w:val="595959" w:themeColor="text1" w:themeTint="A6"/>
          <w:sz w:val="44"/>
          <w:szCs w:val="44"/>
        </w:rPr>
        <w:br/>
        <w:t>for Microsoft Word</w:t>
      </w:r>
    </w:p>
    <w:p w14:paraId="29848394" w14:textId="00ADC7A3" w:rsidR="00856B1D" w:rsidRDefault="00FB5F87">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6A2FBC34">
                <wp:simplePos x="0" y="0"/>
                <wp:positionH relativeFrom="column">
                  <wp:posOffset>19050</wp:posOffset>
                </wp:positionH>
                <wp:positionV relativeFrom="paragraph">
                  <wp:posOffset>198755</wp:posOffset>
                </wp:positionV>
                <wp:extent cx="3838575" cy="308610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3838575" cy="3086100"/>
                        </a:xfrm>
                        <a:prstGeom prst="rect">
                          <a:avLst/>
                        </a:prstGeom>
                        <a:noFill/>
                        <a:ln w="6350">
                          <a:noFill/>
                        </a:ln>
                      </wps:spPr>
                      <wps:txbx>
                        <w:txbxContent>
                          <w:p w14:paraId="6498E77A" w14:textId="15B7CF30" w:rsidR="00960644" w:rsidRPr="007A4076" w:rsidRDefault="00FB5F87">
                            <w:pPr>
                              <w:rPr>
                                <w:rFonts w:ascii="Century Gothic" w:hAnsi="Century Gothic"/>
                                <w:b/>
                                <w:bCs/>
                                <w:color w:val="5B9BD5" w:themeColor="accent5"/>
                                <w:sz w:val="44"/>
                                <w:szCs w:val="44"/>
                              </w:rPr>
                            </w:pPr>
                            <w:r w:rsidRPr="00FB5F87">
                              <w:rPr>
                                <w:rFonts w:ascii="Century Gothic" w:hAnsi="Century Gothic" w:cs="Arial"/>
                                <w:color w:val="5B9BD5" w:themeColor="accent5"/>
                                <w:sz w:val="44"/>
                                <w:szCs w:val="44"/>
                              </w:rPr>
                              <w:t xml:space="preserve">This strategic plan for Positive Charge provides a roadmap for achieving </w:t>
                            </w:r>
                            <w:r w:rsidR="00214A64">
                              <w:rPr>
                                <w:rFonts w:ascii="Century Gothic" w:hAnsi="Century Gothic" w:cs="Arial"/>
                                <w:color w:val="5B9BD5" w:themeColor="accent5"/>
                                <w:sz w:val="44"/>
                                <w:szCs w:val="44"/>
                              </w:rPr>
                              <w:t>the company’s</w:t>
                            </w:r>
                            <w:r w:rsidRPr="00FB5F87">
                              <w:rPr>
                                <w:rFonts w:ascii="Century Gothic" w:hAnsi="Century Gothic" w:cs="Arial"/>
                                <w:color w:val="5B9BD5" w:themeColor="accent5"/>
                                <w:sz w:val="44"/>
                                <w:szCs w:val="44"/>
                              </w:rPr>
                              <w:t xml:space="preserve"> vision of leading the EV charging sector through innovation, strategic expansion, and a focus on customer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1.5pt;margin-top:15.65pt;width:302.25pt;height:2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X2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" filled="f" stroked="f" strokeweight=".5pt">
                <v:textbox>
                  <w:txbxContent>
                    <w:p w14:paraId="6498E77A" w14:textId="15B7CF30" w:rsidR="00960644" w:rsidRPr="007A4076" w:rsidRDefault="00FB5F87">
                      <w:pPr>
                        <w:rPr>
                          <w:rFonts w:ascii="Century Gothic" w:hAnsi="Century Gothic"/>
                          <w:b/>
                          <w:bCs/>
                          <w:color w:val="5B9BD5" w:themeColor="accent5"/>
                          <w:sz w:val="44"/>
                          <w:szCs w:val="44"/>
                        </w:rPr>
                      </w:pPr>
                      <w:r w:rsidRPr="00FB5F87">
                        <w:rPr>
                          <w:rFonts w:ascii="Century Gothic" w:hAnsi="Century Gothic" w:cs="Arial"/>
                          <w:color w:val="5B9BD5" w:themeColor="accent5"/>
                          <w:sz w:val="44"/>
                          <w:szCs w:val="44"/>
                        </w:rPr>
                        <w:t xml:space="preserve">This strategic plan for Positive Charge provides a roadmap for achieving </w:t>
                      </w:r>
                      <w:r w:rsidR="00214A64">
                        <w:rPr>
                          <w:rFonts w:ascii="Century Gothic" w:hAnsi="Century Gothic" w:cs="Arial"/>
                          <w:color w:val="5B9BD5" w:themeColor="accent5"/>
                          <w:sz w:val="44"/>
                          <w:szCs w:val="44"/>
                        </w:rPr>
                        <w:t>the company’s</w:t>
                      </w:r>
                      <w:r w:rsidRPr="00FB5F87">
                        <w:rPr>
                          <w:rFonts w:ascii="Century Gothic" w:hAnsi="Century Gothic" w:cs="Arial"/>
                          <w:color w:val="5B9BD5" w:themeColor="accent5"/>
                          <w:sz w:val="44"/>
                          <w:szCs w:val="44"/>
                        </w:rPr>
                        <w:t xml:space="preserve"> vision of leading the EV charging sector through innovation, strategic expansion, and a focus on customer needs.</w:t>
                      </w:r>
                    </w:p>
                  </w:txbxContent>
                </v:textbox>
              </v:shape>
            </w:pict>
          </mc:Fallback>
        </mc:AlternateContent>
      </w: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F840C3" w:rsidRDefault="00856B1D">
      <w:pPr>
        <w:rPr>
          <w:rFonts w:ascii="Century Gothic" w:hAnsi="Century Gothic"/>
          <w:b/>
          <w:bCs/>
          <w:color w:val="595959" w:themeColor="text1" w:themeTint="A6"/>
          <w:sz w:val="44"/>
          <w:szCs w:val="4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COMPANY NAME</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STRATEGIC PLAN AUTHORED BY</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DATE</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MM/DD/YY</w:t>
            </w:r>
          </w:p>
        </w:tc>
      </w:tr>
    </w:tbl>
    <w:p w14:paraId="03A5D751" w14:textId="6AFEBF10" w:rsidR="00B838C5" w:rsidRDefault="00B838C5"/>
    <w:tbl>
      <w:tblPr>
        <w:tblW w:w="19096" w:type="dxa"/>
        <w:tblLook w:val="04A0" w:firstRow="1" w:lastRow="0" w:firstColumn="1" w:lastColumn="0" w:noHBand="0" w:noVBand="1"/>
      </w:tblPr>
      <w:tblGrid>
        <w:gridCol w:w="3865"/>
        <w:gridCol w:w="1855"/>
        <w:gridCol w:w="1456"/>
        <w:gridCol w:w="1456"/>
        <w:gridCol w:w="1456"/>
        <w:gridCol w:w="1456"/>
        <w:gridCol w:w="1456"/>
        <w:gridCol w:w="1456"/>
        <w:gridCol w:w="1456"/>
        <w:gridCol w:w="1456"/>
        <w:gridCol w:w="1456"/>
        <w:gridCol w:w="272"/>
      </w:tblGrid>
      <w:tr w:rsidR="007D257E" w:rsidRPr="007D257E" w14:paraId="4715C1F7"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lastRenderedPageBreak/>
              <w:t>EXECUTIVE SUMMARY</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67120FE4" w:rsidR="007D257E" w:rsidRPr="00D1464D" w:rsidRDefault="00036E51" w:rsidP="00B838C5">
            <w:pPr>
              <w:spacing w:after="0" w:line="240" w:lineRule="auto"/>
              <w:rPr>
                <w:rFonts w:ascii="Century Gothic" w:hAnsi="Century Gothic"/>
                <w:sz w:val="20"/>
                <w:szCs w:val="20"/>
              </w:rPr>
            </w:pPr>
            <w:r w:rsidRPr="00036E51">
              <w:rPr>
                <w:rFonts w:ascii="Century Gothic" w:hAnsi="Century Gothic"/>
                <w:sz w:val="20"/>
                <w:szCs w:val="20"/>
              </w:rPr>
              <w:t>Positive Charge aims to become a leader in the electric vehicle (EV) charging industry by providing innovative, reliable, and accessible charging solutions to EV owners and businesses. Our strategic plan outlines the steps to expand our network, enhance our technology, and grow our market presence over the next five years.</w:t>
            </w:r>
          </w:p>
        </w:tc>
      </w:tr>
      <w:tr w:rsidR="00F840C3" w:rsidRPr="007D257E" w14:paraId="7D46D7E0"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VISION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sidRPr="00036E51">
              <w:rPr>
                <w:rFonts w:ascii="Century Gothic" w:hAnsi="Century Gothic"/>
                <w:sz w:val="20"/>
                <w:szCs w:val="20"/>
              </w:rPr>
              <w:t>To revolutionize the EV charging experience, making it as commonplace and easy</w:t>
            </w:r>
            <w:r w:rsidR="00214A64">
              <w:rPr>
                <w:rFonts w:ascii="Century Gothic" w:hAnsi="Century Gothic"/>
                <w:sz w:val="20"/>
                <w:szCs w:val="20"/>
              </w:rPr>
              <w:t xml:space="preserve"> </w:t>
            </w:r>
            <w:r w:rsidRPr="00036E51">
              <w:rPr>
                <w:rFonts w:ascii="Century Gothic" w:hAnsi="Century Gothic"/>
                <w:sz w:val="20"/>
                <w:szCs w:val="20"/>
              </w:rPr>
              <w:t>to</w:t>
            </w:r>
            <w:r w:rsidR="00214A64">
              <w:rPr>
                <w:rFonts w:ascii="Century Gothic" w:hAnsi="Century Gothic"/>
                <w:sz w:val="20"/>
                <w:szCs w:val="20"/>
              </w:rPr>
              <w:t xml:space="preserve"> </w:t>
            </w:r>
            <w:r w:rsidRPr="00036E51">
              <w:rPr>
                <w:rFonts w:ascii="Century Gothic" w:hAnsi="Century Gothic"/>
                <w:sz w:val="20"/>
                <w:szCs w:val="20"/>
              </w:rPr>
              <w:t xml:space="preserve">use as </w:t>
            </w:r>
            <w:r w:rsidR="00214A64">
              <w:rPr>
                <w:rFonts w:ascii="Century Gothic" w:hAnsi="Century Gothic"/>
                <w:sz w:val="20"/>
                <w:szCs w:val="20"/>
              </w:rPr>
              <w:t xml:space="preserve">a </w:t>
            </w:r>
            <w:r w:rsidRPr="00036E51">
              <w:rPr>
                <w:rFonts w:ascii="Century Gothic" w:hAnsi="Century Gothic"/>
                <w:sz w:val="20"/>
                <w:szCs w:val="20"/>
              </w:rPr>
              <w:t xml:space="preserve">traditional gas station, thereby accelerating the </w:t>
            </w:r>
            <w:r w:rsidR="00214A64">
              <w:rPr>
                <w:rFonts w:ascii="Century Gothic" w:hAnsi="Century Gothic"/>
                <w:sz w:val="20"/>
                <w:szCs w:val="20"/>
              </w:rPr>
              <w:t xml:space="preserve">global </w:t>
            </w:r>
            <w:r w:rsidRPr="00036E51">
              <w:rPr>
                <w:rFonts w:ascii="Century Gothic" w:hAnsi="Century Gothic"/>
                <w:sz w:val="20"/>
                <w:szCs w:val="20"/>
              </w:rPr>
              <w:t>transition to sustainable transportation.</w:t>
            </w:r>
          </w:p>
        </w:tc>
      </w:tr>
      <w:tr w:rsidR="00B838C5" w:rsidRPr="007D257E" w14:paraId="7981F81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MISSION STATEMENT</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sidRPr="00036E51">
              <w:rPr>
                <w:rFonts w:ascii="Century Gothic" w:hAnsi="Century Gothic"/>
                <w:sz w:val="20"/>
                <w:szCs w:val="20"/>
              </w:rPr>
              <w:t>Positive Charge's mission is to empower EV owners with fast, efficient, and ubiquitous charging solutions, supporting the growth of electric mobility through innovation, customer-centric services, and strategic partnerships.</w:t>
            </w:r>
          </w:p>
        </w:tc>
      </w:tr>
      <w:tr w:rsidR="00B838C5" w:rsidRPr="007D257E" w14:paraId="35C53379" w14:textId="77777777" w:rsidTr="00D22386">
        <w:trPr>
          <w:gridAfter w:val="4"/>
          <w:wAfter w:w="4640" w:type="dxa"/>
          <w:trHeight w:val="1817"/>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SWOT ANALYSIS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 xml:space="preserve">Strengths: Advanced charging technology, strong partnerships with EV manufacturers, and </w:t>
            </w:r>
            <w:r w:rsidR="00EA7488">
              <w:rPr>
                <w:rFonts w:ascii="Century Gothic" w:hAnsi="Century Gothic"/>
                <w:sz w:val="20"/>
                <w:szCs w:val="20"/>
              </w:rPr>
              <w:t xml:space="preserve">the </w:t>
            </w:r>
            <w:r w:rsidRPr="00333D63">
              <w:rPr>
                <w:rFonts w:ascii="Century Gothic" w:hAnsi="Century Gothic"/>
                <w:sz w:val="20"/>
                <w:szCs w:val="20"/>
              </w:rPr>
              <w:t>strategic location of charging stations.</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Weaknesses: High initial infrastructure costs and competition from established fueling and charging networks.</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 xml:space="preserve">Opportunities: </w:t>
            </w:r>
            <w:r w:rsidR="0006376B">
              <w:rPr>
                <w:rFonts w:ascii="Century Gothic" w:hAnsi="Century Gothic"/>
                <w:sz w:val="20"/>
                <w:szCs w:val="20"/>
              </w:rPr>
              <w:t>The g</w:t>
            </w:r>
            <w:r w:rsidRPr="00333D63">
              <w:rPr>
                <w:rFonts w:ascii="Century Gothic" w:hAnsi="Century Gothic"/>
                <w:sz w:val="20"/>
                <w:szCs w:val="20"/>
              </w:rPr>
              <w:t xml:space="preserve">rowing demand for EVs, government incentives for renewable energy, and </w:t>
            </w:r>
            <w:r w:rsidR="0006376B">
              <w:rPr>
                <w:rFonts w:ascii="Century Gothic" w:hAnsi="Century Gothic"/>
                <w:sz w:val="20"/>
                <w:szCs w:val="20"/>
              </w:rPr>
              <w:t xml:space="preserve">the </w:t>
            </w:r>
            <w:r w:rsidRPr="00333D63">
              <w:rPr>
                <w:rFonts w:ascii="Century Gothic" w:hAnsi="Century Gothic"/>
                <w:sz w:val="20"/>
                <w:szCs w:val="20"/>
              </w:rPr>
              <w:t>potential for international expansion.</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Threats: Technological advancements by competitors and changes in regulatory environments.</w:t>
            </w:r>
          </w:p>
        </w:tc>
      </w:tr>
      <w:tr w:rsidR="00F840C3" w:rsidRPr="007D257E" w14:paraId="60FD341C" w14:textId="77777777" w:rsidTr="00D22386">
        <w:trPr>
          <w:gridAfter w:val="4"/>
          <w:wAfter w:w="4640" w:type="dxa"/>
          <w:trHeight w:val="108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BUSINESS GOALS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Short-</w:t>
            </w:r>
            <w:r w:rsidR="00EA7488">
              <w:rPr>
                <w:rFonts w:ascii="Century Gothic" w:hAnsi="Century Gothic"/>
                <w:sz w:val="20"/>
                <w:szCs w:val="20"/>
              </w:rPr>
              <w:t>T</w:t>
            </w:r>
            <w:r w:rsidRPr="00333D63">
              <w:rPr>
                <w:rFonts w:ascii="Century Gothic" w:hAnsi="Century Gothic"/>
                <w:sz w:val="20"/>
                <w:szCs w:val="20"/>
              </w:rPr>
              <w:t>erm (1-2 years): Increase the number of charging stations by 50% and secure two new strategic partnerships.</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sidRPr="00333D63">
              <w:rPr>
                <w:rFonts w:ascii="Century Gothic" w:hAnsi="Century Gothic"/>
                <w:sz w:val="20"/>
                <w:szCs w:val="20"/>
              </w:rPr>
              <w:t>Long-</w:t>
            </w:r>
            <w:r w:rsidR="00EA7488">
              <w:rPr>
                <w:rFonts w:ascii="Century Gothic" w:hAnsi="Century Gothic"/>
                <w:sz w:val="20"/>
                <w:szCs w:val="20"/>
              </w:rPr>
              <w:t>T</w:t>
            </w:r>
            <w:r w:rsidRPr="00333D63">
              <w:rPr>
                <w:rFonts w:ascii="Century Gothic" w:hAnsi="Century Gothic"/>
                <w:sz w:val="20"/>
                <w:szCs w:val="20"/>
              </w:rPr>
              <w:t>erm (3-5 years): Achieve a 25% market share in the EV charging sector and expand operations to three new countries.</w:t>
            </w:r>
          </w:p>
        </w:tc>
      </w:tr>
      <w:tr w:rsidR="00B838C5" w:rsidRPr="007D257E" w14:paraId="06645FFA"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MARKETING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sidRPr="00D1020F">
              <w:rPr>
                <w:rFonts w:ascii="Century Gothic" w:hAnsi="Century Gothic"/>
                <w:sz w:val="20"/>
                <w:szCs w:val="20"/>
              </w:rPr>
              <w:t xml:space="preserve">Implement a multichannel marketing strategy </w:t>
            </w:r>
            <w:r w:rsidR="00EA7488">
              <w:rPr>
                <w:rFonts w:ascii="Century Gothic" w:hAnsi="Century Gothic"/>
                <w:sz w:val="20"/>
                <w:szCs w:val="20"/>
              </w:rPr>
              <w:t>that focuses</w:t>
            </w:r>
            <w:r w:rsidRPr="00D1020F">
              <w:rPr>
                <w:rFonts w:ascii="Century Gothic" w:hAnsi="Century Gothic"/>
                <w:sz w:val="20"/>
                <w:szCs w:val="20"/>
              </w:rPr>
              <w:t xml:space="preserve"> on digital marketing, partnerships with EV manufacturers, and participation in green energy expos </w:t>
            </w:r>
            <w:r w:rsidR="00EA7488">
              <w:rPr>
                <w:rFonts w:ascii="Century Gothic" w:hAnsi="Century Gothic"/>
                <w:sz w:val="20"/>
                <w:szCs w:val="20"/>
              </w:rPr>
              <w:t>that</w:t>
            </w:r>
            <w:r w:rsidRPr="00D1020F">
              <w:rPr>
                <w:rFonts w:ascii="Century Gothic" w:hAnsi="Century Gothic"/>
                <w:sz w:val="20"/>
                <w:szCs w:val="20"/>
              </w:rPr>
              <w:t xml:space="preserve"> increase brand awareness and customer engagement.</w:t>
            </w:r>
          </w:p>
        </w:tc>
      </w:tr>
      <w:tr w:rsidR="00F840C3" w:rsidRPr="007D257E" w14:paraId="454B8795"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OPERATIONS PLAN</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sidRPr="00D1020F">
              <w:rPr>
                <w:rFonts w:ascii="Century Gothic" w:hAnsi="Century Gothic"/>
                <w:sz w:val="20"/>
                <w:szCs w:val="20"/>
              </w:rPr>
              <w:t xml:space="preserve">Scale up infrastructure development by investing in next generation charging technologies and optimizing logistics to ensure </w:t>
            </w:r>
            <w:r w:rsidR="0006376B">
              <w:rPr>
                <w:rFonts w:ascii="Century Gothic" w:hAnsi="Century Gothic"/>
                <w:sz w:val="20"/>
                <w:szCs w:val="20"/>
              </w:rPr>
              <w:t xml:space="preserve">the </w:t>
            </w:r>
            <w:r w:rsidRPr="00D1020F">
              <w:rPr>
                <w:rFonts w:ascii="Century Gothic" w:hAnsi="Century Gothic"/>
                <w:sz w:val="20"/>
                <w:szCs w:val="20"/>
              </w:rPr>
              <w:t>efficient deployment and maintenance of charging stations.</w:t>
            </w:r>
          </w:p>
        </w:tc>
      </w:tr>
      <w:tr w:rsidR="00B838C5" w:rsidRPr="007D257E" w14:paraId="5EFEA7F9" w14:textId="77777777" w:rsidTr="002A5A3C">
        <w:trPr>
          <w:gridAfter w:val="4"/>
          <w:wAfter w:w="4640" w:type="dxa"/>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FINANCIAL PROJECTIONS</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1: Revenue of $5 million with a net loss of $1 million due to initial investments.</w:t>
            </w:r>
          </w:p>
          <w:p w14:paraId="618B5F63" w14:textId="77777777" w:rsidR="00D1020F" w:rsidRPr="00D1020F"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2: Revenue of $10 million with a net profit of $1 million.</w:t>
            </w:r>
          </w:p>
          <w:p w14:paraId="6BACCB43" w14:textId="3AD73A26" w:rsidR="00B838C5" w:rsidRPr="007E2D98" w:rsidRDefault="00D1020F" w:rsidP="00D1020F">
            <w:pPr>
              <w:spacing w:after="0" w:line="240" w:lineRule="auto"/>
              <w:rPr>
                <w:rFonts w:ascii="Century Gothic" w:hAnsi="Century Gothic"/>
                <w:sz w:val="20"/>
                <w:szCs w:val="20"/>
              </w:rPr>
            </w:pPr>
            <w:r w:rsidRPr="00D1020F">
              <w:rPr>
                <w:rFonts w:ascii="Century Gothic" w:hAnsi="Century Gothic"/>
                <w:sz w:val="20"/>
                <w:szCs w:val="20"/>
              </w:rPr>
              <w:t>Year 3-5: Year-on-year revenue growth of 30%, achieving a net profit margin of 15%.</w:t>
            </w:r>
          </w:p>
        </w:tc>
      </w:tr>
      <w:tr w:rsidR="00B838C5" w:rsidRPr="007D257E" w14:paraId="63E12318" w14:textId="77777777" w:rsidTr="00D22386">
        <w:trPr>
          <w:gridAfter w:val="4"/>
          <w:wAfter w:w="4640" w:type="dxa"/>
          <w:trHeight w:val="107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sidRPr="00694E25">
              <w:rPr>
                <w:rFonts w:ascii="Century Gothic" w:eastAsia="Times New Roman" w:hAnsi="Century Gothic" w:cs="Calibri"/>
                <w:color w:val="595959" w:themeColor="text1" w:themeTint="A6"/>
                <w:kern w:val="0"/>
                <w:sz w:val="28"/>
                <w:szCs w:val="28"/>
                <w14:ligatures w14:val="none"/>
              </w:rPr>
              <w:t>TEAM</w:t>
            </w:r>
          </w:p>
        </w:tc>
        <w:tc>
          <w:tcPr>
            <w:tcW w:w="10591"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CEO: </w:t>
            </w:r>
            <w:r w:rsidR="0006376B">
              <w:rPr>
                <w:rFonts w:ascii="Century Gothic" w:hAnsi="Century Gothic"/>
                <w:sz w:val="20"/>
                <w:szCs w:val="20"/>
              </w:rPr>
              <w:t>An e</w:t>
            </w:r>
            <w:r w:rsidRPr="001F6345">
              <w:rPr>
                <w:rFonts w:ascii="Century Gothic" w:hAnsi="Century Gothic"/>
                <w:sz w:val="20"/>
                <w:szCs w:val="20"/>
              </w:rPr>
              <w:t>xpert in renewable energy with 20 years of experience.</w:t>
            </w:r>
          </w:p>
          <w:p w14:paraId="366C1B64" w14:textId="78344776"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CTO: </w:t>
            </w:r>
            <w:r w:rsidR="0006376B">
              <w:rPr>
                <w:rFonts w:ascii="Century Gothic" w:hAnsi="Century Gothic"/>
                <w:sz w:val="20"/>
                <w:szCs w:val="20"/>
              </w:rPr>
              <w:t>A s</w:t>
            </w:r>
            <w:r w:rsidRPr="001F6345">
              <w:rPr>
                <w:rFonts w:ascii="Century Gothic" w:hAnsi="Century Gothic"/>
                <w:sz w:val="20"/>
                <w:szCs w:val="20"/>
              </w:rPr>
              <w:t>pecialist in EV technology and infrastructure development.</w:t>
            </w:r>
          </w:p>
          <w:p w14:paraId="6C639D4C" w14:textId="6EFD9522" w:rsidR="001F6345" w:rsidRPr="001F6345"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CFO: </w:t>
            </w:r>
            <w:r w:rsidR="0006376B">
              <w:rPr>
                <w:rFonts w:ascii="Century Gothic" w:hAnsi="Century Gothic"/>
                <w:sz w:val="20"/>
                <w:szCs w:val="20"/>
              </w:rPr>
              <w:t>An e</w:t>
            </w:r>
            <w:r w:rsidRPr="001F6345">
              <w:rPr>
                <w:rFonts w:ascii="Century Gothic" w:hAnsi="Century Gothic"/>
                <w:sz w:val="20"/>
                <w:szCs w:val="20"/>
              </w:rPr>
              <w:t>xper</w:t>
            </w:r>
            <w:r w:rsidR="00EA7488">
              <w:rPr>
                <w:rFonts w:ascii="Century Gothic" w:hAnsi="Century Gothic"/>
                <w:sz w:val="20"/>
                <w:szCs w:val="20"/>
              </w:rPr>
              <w:t>t</w:t>
            </w:r>
            <w:r w:rsidRPr="001F6345">
              <w:rPr>
                <w:rFonts w:ascii="Century Gothic" w:hAnsi="Century Gothic"/>
                <w:sz w:val="20"/>
                <w:szCs w:val="20"/>
              </w:rPr>
              <w:t xml:space="preserve"> in finance and investment w</w:t>
            </w:r>
            <w:r w:rsidR="00EA7488">
              <w:rPr>
                <w:rFonts w:ascii="Century Gothic" w:hAnsi="Century Gothic"/>
                <w:sz w:val="20"/>
                <w:szCs w:val="20"/>
              </w:rPr>
              <w:t>ho</w:t>
            </w:r>
            <w:r w:rsidRPr="001F6345">
              <w:rPr>
                <w:rFonts w:ascii="Century Gothic" w:hAnsi="Century Gothic"/>
                <w:sz w:val="20"/>
                <w:szCs w:val="20"/>
              </w:rPr>
              <w:t xml:space="preserve"> focus</w:t>
            </w:r>
            <w:r w:rsidR="00EA7488">
              <w:rPr>
                <w:rFonts w:ascii="Century Gothic" w:hAnsi="Century Gothic"/>
                <w:sz w:val="20"/>
                <w:szCs w:val="20"/>
              </w:rPr>
              <w:t>es</w:t>
            </w:r>
            <w:r w:rsidRPr="001F6345">
              <w:rPr>
                <w:rFonts w:ascii="Century Gothic" w:hAnsi="Century Gothic"/>
                <w:sz w:val="20"/>
                <w:szCs w:val="20"/>
              </w:rPr>
              <w:t xml:space="preserve"> on green technologies.</w:t>
            </w:r>
          </w:p>
          <w:p w14:paraId="4392700B" w14:textId="0528725A" w:rsidR="00B838C5" w:rsidRPr="007E2D98" w:rsidRDefault="001F6345" w:rsidP="001F6345">
            <w:pPr>
              <w:spacing w:after="0" w:line="240" w:lineRule="auto"/>
              <w:rPr>
                <w:rFonts w:ascii="Century Gothic" w:hAnsi="Century Gothic"/>
                <w:sz w:val="20"/>
                <w:szCs w:val="20"/>
              </w:rPr>
            </w:pPr>
            <w:r w:rsidRPr="001F6345">
              <w:rPr>
                <w:rFonts w:ascii="Century Gothic" w:hAnsi="Century Gothic"/>
                <w:sz w:val="20"/>
                <w:szCs w:val="20"/>
              </w:rPr>
              <w:t xml:space="preserve">Marketing Director: </w:t>
            </w:r>
            <w:r w:rsidR="0006376B">
              <w:rPr>
                <w:rFonts w:ascii="Century Gothic" w:hAnsi="Century Gothic"/>
                <w:sz w:val="20"/>
                <w:szCs w:val="20"/>
              </w:rPr>
              <w:t>A s</w:t>
            </w:r>
            <w:r w:rsidRPr="001F6345">
              <w:rPr>
                <w:rFonts w:ascii="Century Gothic" w:hAnsi="Century Gothic"/>
                <w:sz w:val="20"/>
                <w:szCs w:val="20"/>
              </w:rPr>
              <w:t xml:space="preserve">killed </w:t>
            </w:r>
            <w:r w:rsidR="0006376B">
              <w:rPr>
                <w:rFonts w:ascii="Century Gothic" w:hAnsi="Century Gothic"/>
                <w:sz w:val="20"/>
                <w:szCs w:val="20"/>
              </w:rPr>
              <w:t xml:space="preserve">leader </w:t>
            </w:r>
            <w:r w:rsidRPr="001F6345">
              <w:rPr>
                <w:rFonts w:ascii="Century Gothic" w:hAnsi="Century Gothic"/>
                <w:sz w:val="20"/>
                <w:szCs w:val="20"/>
              </w:rPr>
              <w:t>in digital marketing and brand building in the tech industry.</w:t>
            </w:r>
          </w:p>
        </w:tc>
      </w:tr>
      <w:tr w:rsidR="007D257E" w:rsidRPr="007D257E" w14:paraId="14CA452E" w14:textId="77777777" w:rsidTr="0053241E">
        <w:trPr>
          <w:trHeight w:val="240"/>
        </w:trPr>
        <w:tc>
          <w:tcPr>
            <w:tcW w:w="3865" w:type="dxa"/>
            <w:tcBorders>
              <w:top w:val="single" w:sz="4" w:space="0" w:color="BFBFBF" w:themeColor="background1" w:themeShade="BF"/>
              <w:left w:val="nil"/>
              <w:bottom w:val="nil"/>
              <w:right w:val="nil"/>
            </w:tcBorders>
            <w:shd w:val="clear" w:color="auto" w:fill="auto"/>
            <w:noWrap/>
            <w:vAlign w:val="bottom"/>
            <w:hideMark/>
          </w:tcPr>
          <w:p w14:paraId="7A14C9C6" w14:textId="77777777" w:rsidR="007D257E" w:rsidRPr="007D257E" w:rsidRDefault="007D257E" w:rsidP="007D257E">
            <w:pPr>
              <w:spacing w:after="0" w:line="240" w:lineRule="auto"/>
              <w:ind w:firstLineChars="100" w:firstLine="200"/>
              <w:rPr>
                <w:rFonts w:ascii="Century Gothic" w:eastAsia="Times New Roman" w:hAnsi="Century Gothic" w:cs="Calibri"/>
                <w:color w:val="000000"/>
                <w:kern w:val="0"/>
                <w:sz w:val="20"/>
                <w:szCs w:val="20"/>
                <w14:ligatures w14:val="none"/>
              </w:rPr>
            </w:pPr>
          </w:p>
        </w:tc>
        <w:tc>
          <w:tcPr>
            <w:tcW w:w="1855" w:type="dxa"/>
            <w:tcBorders>
              <w:top w:val="single" w:sz="4" w:space="0" w:color="BFBFBF" w:themeColor="background1" w:themeShade="BF"/>
              <w:left w:val="nil"/>
              <w:bottom w:val="nil"/>
              <w:right w:val="nil"/>
            </w:tcBorders>
            <w:shd w:val="clear" w:color="000000" w:fill="FFFFFF"/>
            <w:noWrap/>
            <w:vAlign w:val="bottom"/>
            <w:hideMark/>
          </w:tcPr>
          <w:p w14:paraId="0A8D9ABB" w14:textId="77777777" w:rsidR="007D257E" w:rsidRPr="007D257E" w:rsidRDefault="007D257E" w:rsidP="007D257E">
            <w:pPr>
              <w:spacing w:after="0" w:line="240" w:lineRule="auto"/>
              <w:rPr>
                <w:rFonts w:ascii="Century Gothic" w:eastAsia="Times New Roman" w:hAnsi="Century Gothic" w:cs="Calibri"/>
                <w:color w:val="806000"/>
                <w:kern w:val="0"/>
                <w:sz w:val="36"/>
                <w:szCs w:val="36"/>
                <w14:ligatures w14:val="none"/>
              </w:rPr>
            </w:pPr>
            <w:r w:rsidRPr="007D257E">
              <w:rPr>
                <w:rFonts w:ascii="Century Gothic" w:eastAsia="Times New Roman" w:hAnsi="Century Gothic" w:cs="Calibri"/>
                <w:color w:val="806000"/>
                <w:kern w:val="0"/>
                <w:sz w:val="36"/>
                <w:szCs w:val="36"/>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575BDB0"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40FB0D43"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7A3894C9"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67B0CDDD" w14:textId="77777777" w:rsidR="007D257E" w:rsidRPr="007D257E" w:rsidRDefault="007D257E" w:rsidP="007D257E">
            <w:pPr>
              <w:spacing w:after="0" w:line="240" w:lineRule="auto"/>
              <w:jc w:val="right"/>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04D69864"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single" w:sz="4" w:space="0" w:color="BFBFBF" w:themeColor="background1" w:themeShade="BF"/>
              <w:left w:val="nil"/>
              <w:bottom w:val="nil"/>
              <w:right w:val="nil"/>
            </w:tcBorders>
            <w:shd w:val="clear" w:color="000000" w:fill="FFFFFF"/>
            <w:noWrap/>
            <w:vAlign w:val="center"/>
            <w:hideMark/>
          </w:tcPr>
          <w:p w14:paraId="37A0E688"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32B8BDB5"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74529B79"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1456" w:type="dxa"/>
            <w:tcBorders>
              <w:top w:val="nil"/>
              <w:left w:val="nil"/>
              <w:bottom w:val="nil"/>
              <w:right w:val="nil"/>
            </w:tcBorders>
            <w:shd w:val="clear" w:color="000000" w:fill="FFFFFF"/>
            <w:noWrap/>
            <w:vAlign w:val="center"/>
            <w:hideMark/>
          </w:tcPr>
          <w:p w14:paraId="20235F2E"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c>
          <w:tcPr>
            <w:tcW w:w="272" w:type="dxa"/>
            <w:tcBorders>
              <w:top w:val="nil"/>
              <w:left w:val="nil"/>
              <w:bottom w:val="nil"/>
              <w:right w:val="nil"/>
            </w:tcBorders>
            <w:shd w:val="clear" w:color="000000" w:fill="FFFFFF"/>
            <w:noWrap/>
            <w:vAlign w:val="center"/>
            <w:hideMark/>
          </w:tcPr>
          <w:p w14:paraId="080722AF" w14:textId="77777777" w:rsidR="007D257E" w:rsidRPr="007D257E" w:rsidRDefault="007D257E" w:rsidP="007D257E">
            <w:pPr>
              <w:spacing w:after="0" w:line="240" w:lineRule="auto"/>
              <w:rPr>
                <w:rFonts w:ascii="Century Gothic" w:eastAsia="Times New Roman" w:hAnsi="Century Gothic" w:cs="Calibri"/>
                <w:kern w:val="0"/>
                <w:sz w:val="20"/>
                <w:szCs w:val="20"/>
                <w14:ligatures w14:val="none"/>
              </w:rPr>
            </w:pPr>
            <w:r w:rsidRPr="007D257E">
              <w:rPr>
                <w:rFonts w:ascii="Century Gothic" w:eastAsia="Times New Roman" w:hAnsi="Century Gothic" w:cs="Calibri"/>
                <w:kern w:val="0"/>
                <w:sz w:val="20"/>
                <w:szCs w:val="20"/>
                <w14:ligatures w14:val="none"/>
              </w:rPr>
              <w:t> </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E20DA8">
        <w:trPr>
          <w:trHeight w:val="2338"/>
        </w:trPr>
        <w:tc>
          <w:tcPr>
            <w:tcW w:w="14233" w:type="dxa"/>
          </w:tcPr>
          <w:p w14:paraId="2CDC834D" w14:textId="77777777" w:rsidR="00E9555E" w:rsidRPr="00692C04" w:rsidRDefault="00E9555E" w:rsidP="00E20DA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A5E04A" w14:textId="77777777" w:rsidR="00E9555E" w:rsidRDefault="00E9555E" w:rsidP="00E20DA8">
            <w:pPr>
              <w:rPr>
                <w:rFonts w:ascii="Century Gothic" w:hAnsi="Century Gothic" w:cs="Arial"/>
                <w:szCs w:val="20"/>
              </w:rPr>
            </w:pPr>
          </w:p>
          <w:p w14:paraId="509A3D04" w14:textId="77777777" w:rsidR="00E9555E" w:rsidRDefault="00E9555E" w:rsidP="00E20DA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50CAB"/>
    <w:rsid w:val="00055227"/>
    <w:rsid w:val="0006376B"/>
    <w:rsid w:val="000D0FD7"/>
    <w:rsid w:val="000F173D"/>
    <w:rsid w:val="0012137D"/>
    <w:rsid w:val="00127B68"/>
    <w:rsid w:val="00192157"/>
    <w:rsid w:val="001A1328"/>
    <w:rsid w:val="001F59E2"/>
    <w:rsid w:val="001F6345"/>
    <w:rsid w:val="00214A64"/>
    <w:rsid w:val="00280F66"/>
    <w:rsid w:val="002A5A3C"/>
    <w:rsid w:val="002D3824"/>
    <w:rsid w:val="00333D63"/>
    <w:rsid w:val="003A4A32"/>
    <w:rsid w:val="003A776D"/>
    <w:rsid w:val="003E1829"/>
    <w:rsid w:val="00423B67"/>
    <w:rsid w:val="005233D9"/>
    <w:rsid w:val="0053241E"/>
    <w:rsid w:val="005C758F"/>
    <w:rsid w:val="00670F01"/>
    <w:rsid w:val="00680F0E"/>
    <w:rsid w:val="006841C6"/>
    <w:rsid w:val="00694E25"/>
    <w:rsid w:val="006D4C32"/>
    <w:rsid w:val="006E160E"/>
    <w:rsid w:val="007057FB"/>
    <w:rsid w:val="00780711"/>
    <w:rsid w:val="007A4076"/>
    <w:rsid w:val="007D257E"/>
    <w:rsid w:val="007F7BB8"/>
    <w:rsid w:val="00856B1D"/>
    <w:rsid w:val="00874FC2"/>
    <w:rsid w:val="008A6AA0"/>
    <w:rsid w:val="00902D43"/>
    <w:rsid w:val="00960644"/>
    <w:rsid w:val="009A4B55"/>
    <w:rsid w:val="009C2AF2"/>
    <w:rsid w:val="009C3683"/>
    <w:rsid w:val="00AB29C2"/>
    <w:rsid w:val="00B20388"/>
    <w:rsid w:val="00B5700F"/>
    <w:rsid w:val="00B6775F"/>
    <w:rsid w:val="00B838C5"/>
    <w:rsid w:val="00BC1FE7"/>
    <w:rsid w:val="00BE49A9"/>
    <w:rsid w:val="00C568EC"/>
    <w:rsid w:val="00CC01FA"/>
    <w:rsid w:val="00CD13E5"/>
    <w:rsid w:val="00D1020F"/>
    <w:rsid w:val="00D116C2"/>
    <w:rsid w:val="00D1464D"/>
    <w:rsid w:val="00D22386"/>
    <w:rsid w:val="00DA652A"/>
    <w:rsid w:val="00E82E2E"/>
    <w:rsid w:val="00E9555E"/>
    <w:rsid w:val="00EA6DAE"/>
    <w:rsid w:val="00EA7488"/>
    <w:rsid w:val="00EE52D1"/>
    <w:rsid w:val="00F065C8"/>
    <w:rsid w:val="00F1326C"/>
    <w:rsid w:val="00F462A7"/>
    <w:rsid w:val="00F840C3"/>
    <w:rsid w:val="00FB40C3"/>
    <w:rsid w:val="00FB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043&amp;utm_source=template-word&amp;utm_medium=content&amp;utm_campaign=Sample+Basic+Strategic+Plan-word-12043&amp;lpa=Sample+Basic+Strategic+Plan+word+12043"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Allison Okonczak</cp:lastModifiedBy>
  <cp:revision>6</cp:revision>
  <dcterms:created xsi:type="dcterms:W3CDTF">2024-03-22T05:23:00Z</dcterms:created>
  <dcterms:modified xsi:type="dcterms:W3CDTF">2024-05-17T11:44:00Z</dcterms:modified>
</cp:coreProperties>
</file>