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3AA94F0F" w:rsidR="0022017E" w:rsidRPr="00823C0E" w:rsidRDefault="00823C0E">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23BDF9B8">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4"/>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4"/>
                      <a:extLst>
                        <a:ext uri="{FF2B5EF4-FFF2-40B4-BE49-F238E27FC236}">
                          <a16:creationId xmlns:a16="http://schemas.microsoft.com/office/drawing/2014/main" id="{7B94D792-3EDA-514B-9013-055291A76202}"/>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25F2A1B9">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sidR="00E327DC" w:rsidRPr="00823C0E">
        <w:rPr>
          <w:rFonts w:ascii="Century Gothic" w:hAnsi="Century Gothic"/>
          <w:b/>
          <w:bCs/>
          <w:color w:val="595959" w:themeColor="text1" w:themeTint="A6"/>
          <w:sz w:val="52"/>
          <w:szCs w:val="52"/>
        </w:rPr>
        <w:t xml:space="preserve">SIMPLE CASE STUDY TEMPLATE </w:t>
      </w:r>
      <w:r w:rsidR="00E327DC" w:rsidRPr="00823C0E">
        <w:rPr>
          <w:rFonts w:ascii="Century Gothic" w:hAnsi="Century Gothic"/>
          <w:b/>
          <w:bCs/>
          <w:color w:val="595959" w:themeColor="text1" w:themeTint="A6"/>
          <w:sz w:val="52"/>
          <w:szCs w:val="52"/>
        </w:rPr>
        <w:br/>
        <w:t>for Microsoft Word</w:t>
      </w:r>
      <w:r w:rsidR="00EE1FEC">
        <w:rPr>
          <w:rFonts w:ascii="Century Gothic" w:hAnsi="Century Gothic"/>
          <w:b/>
          <w:bCs/>
          <w:color w:val="595959" w:themeColor="text1" w:themeTint="A6"/>
          <w:sz w:val="52"/>
          <w:szCs w:val="52"/>
        </w:rPr>
        <w:t xml:space="preserve"> EXAMPLE</w:t>
      </w:r>
    </w:p>
    <w:p w14:paraId="198C8B67" w14:textId="267C8275" w:rsidR="00762D74" w:rsidRDefault="00762D74">
      <w:pPr>
        <w:rPr>
          <w:rFonts w:ascii="Century Gothic" w:hAnsi="Century Gothic"/>
          <w:b/>
          <w:bCs/>
          <w:color w:val="595959" w:themeColor="text1" w:themeTint="A6"/>
          <w:sz w:val="44"/>
          <w:szCs w:val="44"/>
        </w:rPr>
      </w:pPr>
    </w:p>
    <w:p w14:paraId="2B513E80" w14:textId="3B21A2A7" w:rsidR="00762D74" w:rsidRDefault="00762D74">
      <w:pPr>
        <w:rPr>
          <w:rFonts w:ascii="Century Gothic" w:hAnsi="Century Gothic"/>
          <w:color w:val="2E74B5" w:themeColor="accent5" w:themeShade="BF"/>
          <w:sz w:val="84"/>
          <w:szCs w:val="84"/>
        </w:rPr>
      </w:pPr>
      <w:r>
        <w:rPr>
          <w:rFonts w:ascii="Century Gothic" w:hAnsi="Century Gothic"/>
          <w:color w:val="2E74B5" w:themeColor="accent5" w:themeShade="BF"/>
          <w:sz w:val="84"/>
          <w:szCs w:val="84"/>
        </w:rPr>
        <w:t xml:space="preserve">[ </w:t>
      </w:r>
      <w:r w:rsidR="00EE1FEC">
        <w:rPr>
          <w:rFonts w:ascii="Century Gothic" w:hAnsi="Century Gothic"/>
          <w:color w:val="2E74B5" w:themeColor="accent5" w:themeShade="BF"/>
          <w:sz w:val="64"/>
          <w:szCs w:val="64"/>
        </w:rPr>
        <w:t>EMPOWERING ELECTRIC FLEETS WITH EFFICIENT CHARGING SOLUTIONS</w:t>
      </w:r>
      <w:r>
        <w:rPr>
          <w:rFonts w:ascii="Century Gothic" w:hAnsi="Century Gothic"/>
          <w:color w:val="2E74B5" w:themeColor="accent5" w:themeShade="BF"/>
          <w:sz w:val="84"/>
          <w:szCs w:val="84"/>
        </w:rPr>
        <w:t xml:space="preserve"> ]</w:t>
      </w:r>
    </w:p>
    <w:p w14:paraId="3B9EA348" w14:textId="414194CD" w:rsidR="00762D74" w:rsidRPr="00762D74" w:rsidRDefault="00762D74">
      <w:pPr>
        <w:rPr>
          <w:rFonts w:ascii="Century Gothic" w:hAnsi="Century Gothic"/>
          <w:color w:val="2E74B5" w:themeColor="accent5" w:themeShade="BF"/>
          <w:sz w:val="84"/>
          <w:szCs w:val="84"/>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823C0E">
        <w:trPr>
          <w:trHeight w:val="1440"/>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03842F37" w:rsidR="00823C0E" w:rsidRPr="00E327DC" w:rsidRDefault="00EE1FE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Marketing Case Study: Empowering Electric Fleets with Efficient Charging Solutions</w:t>
            </w:r>
          </w:p>
        </w:tc>
      </w:tr>
      <w:tr w:rsidR="00823C0E" w:rsidRPr="00E327DC" w14:paraId="51BF33B8" w14:textId="77777777" w:rsidTr="00823C0E">
        <w:trPr>
          <w:trHeight w:val="144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357B474E" w:rsidR="00823C0E" w:rsidRPr="00E327DC" w:rsidRDefault="00EE1FEC" w:rsidP="00E327D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Lori Garcia</w:t>
            </w:r>
          </w:p>
        </w:tc>
      </w:tr>
      <w:tr w:rsidR="00823C0E" w:rsidRPr="00E327DC" w14:paraId="6A035C60" w14:textId="77777777" w:rsidTr="00823C0E">
        <w:trPr>
          <w:trHeight w:val="144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3675EBE4" w14:textId="21F9CABC" w:rsidR="00762D74" w:rsidRDefault="00762D74">
      <w:pPr>
        <w:rPr>
          <w:rFonts w:ascii="Century Gothic" w:hAnsi="Century Gothic"/>
          <w:b/>
          <w:bCs/>
          <w:color w:val="595959" w:themeColor="text1" w:themeTint="A6"/>
          <w:sz w:val="24"/>
          <w:szCs w:val="24"/>
        </w:rPr>
      </w:pPr>
    </w:p>
    <w:tbl>
      <w:tblPr>
        <w:tblStyle w:val="TableGrid"/>
        <w:tblW w:w="14575" w:type="dxa"/>
        <w:tblLook w:val="04A0" w:firstRow="1" w:lastRow="0" w:firstColumn="1" w:lastColumn="0" w:noHBand="0" w:noVBand="1"/>
      </w:tblPr>
      <w:tblGrid>
        <w:gridCol w:w="3595"/>
        <w:gridCol w:w="10980"/>
      </w:tblGrid>
      <w:tr w:rsidR="00762D74" w:rsidRPr="00E327DC" w14:paraId="688745BA"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9139D5F" w14:textId="37DF25C8" w:rsidR="00762D74" w:rsidRPr="00E327DC" w:rsidRDefault="00762D74" w:rsidP="001647D3">
            <w:pPr>
              <w:jc w:val="right"/>
              <w:rPr>
                <w:rFonts w:ascii="Century Gothic" w:hAnsi="Century Gothic"/>
                <w:color w:val="2E74B5" w:themeColor="accent5" w:themeShade="BF"/>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INTRODUCTION</w:t>
            </w:r>
          </w:p>
        </w:tc>
        <w:tc>
          <w:tcPr>
            <w:tcW w:w="10980" w:type="dxa"/>
            <w:tcBorders>
              <w:left w:val="threeDEmboss" w:sz="24" w:space="0" w:color="BF8F00" w:themeColor="accent4" w:themeShade="BF"/>
            </w:tcBorders>
            <w:vAlign w:val="center"/>
          </w:tcPr>
          <w:p w14:paraId="40892618" w14:textId="0975DF4B" w:rsidR="00762D74"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In this marketing case study, we explore Positive Charge's successful partnership with an electric vehicle (EV) fleet management company. Discover how our tailored EV charging solutions addressed their unique challenges and transformed their operations.</w:t>
            </w:r>
          </w:p>
        </w:tc>
      </w:tr>
      <w:tr w:rsidR="00823C0E" w:rsidRPr="00E327DC" w14:paraId="1FE45C82"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94890FF" w14:textId="602FA0A1"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CUSTOMER CHALLENGE / OPPORTUNITY</w:t>
            </w:r>
          </w:p>
        </w:tc>
        <w:tc>
          <w:tcPr>
            <w:tcW w:w="10980" w:type="dxa"/>
            <w:tcBorders>
              <w:left w:val="threeDEmboss" w:sz="24" w:space="0" w:color="BF8F00" w:themeColor="accent4" w:themeShade="BF"/>
            </w:tcBorders>
            <w:vAlign w:val="center"/>
          </w:tcPr>
          <w:p w14:paraId="7FEF718E" w14:textId="4BBB2C63"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The customer, an EV fleet management company, faced a significant challenge due to their rapidly growing fleet of electric vehicles. Charging infrastructure limitations were leading to bottlenecks, impacting fleet uptime and operational efficiency.</w:t>
            </w:r>
          </w:p>
        </w:tc>
      </w:tr>
      <w:tr w:rsidR="00823C0E" w:rsidRPr="00E327DC" w14:paraId="2BB5661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629FCC36" w14:textId="02FBC489"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MARKETING STRATEGIES</w:t>
            </w:r>
          </w:p>
        </w:tc>
        <w:tc>
          <w:tcPr>
            <w:tcW w:w="10980" w:type="dxa"/>
            <w:tcBorders>
              <w:left w:val="threeDEmboss" w:sz="24" w:space="0" w:color="BF8F00" w:themeColor="accent4" w:themeShade="BF"/>
            </w:tcBorders>
            <w:vAlign w:val="center"/>
          </w:tcPr>
          <w:p w14:paraId="276A1507" w14:textId="190A4A98"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Positive Charge devised a comprehensive marketing strategy to tackle the challenge effectively. Our strategies focused on promoting turnkey EV charging solutions tailored to the customer's specific needs and challenges.</w:t>
            </w:r>
          </w:p>
        </w:tc>
      </w:tr>
      <w:tr w:rsidR="00823C0E" w:rsidRPr="00E327DC" w14:paraId="79163858"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77E8567C" w14:textId="24A40FE8"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RESULTS AND IMPACT</w:t>
            </w:r>
          </w:p>
        </w:tc>
        <w:tc>
          <w:tcPr>
            <w:tcW w:w="10980" w:type="dxa"/>
            <w:tcBorders>
              <w:left w:val="threeDEmboss" w:sz="24" w:space="0" w:color="BF8F00" w:themeColor="accent4" w:themeShade="BF"/>
            </w:tcBorders>
            <w:vAlign w:val="center"/>
          </w:tcPr>
          <w:p w14:paraId="274ABBE0" w14:textId="017CB5C0"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The results were remarkable. Through our marketing efforts, the customer experienced a 50% reduction in charging-related downtime, leading to substantial cost savings. Additionally, our strategies led to a 60% increase in leads from fleet operators seeking similar solutions.</w:t>
            </w:r>
          </w:p>
        </w:tc>
      </w:tr>
      <w:tr w:rsidR="00823C0E" w:rsidRPr="00E327DC" w14:paraId="5BBA5C9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6B51AC4" w14:textId="602F04C7"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CALL-TO-ACTION (CTA)</w:t>
            </w:r>
          </w:p>
        </w:tc>
        <w:tc>
          <w:tcPr>
            <w:tcW w:w="10980" w:type="dxa"/>
            <w:tcBorders>
              <w:left w:val="threeDEmboss" w:sz="24" w:space="0" w:color="BF8F00" w:themeColor="accent4" w:themeShade="BF"/>
            </w:tcBorders>
            <w:vAlign w:val="center"/>
          </w:tcPr>
          <w:p w14:paraId="2CD0A799" w14:textId="29149D31"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We invite you to take the next step towards transforming your EV fleet operations. Contact us today to explore customized EV charging solutions that will drive efficiency and cost savings for your business.</w:t>
            </w:r>
          </w:p>
        </w:tc>
      </w:tr>
    </w:tbl>
    <w:p w14:paraId="63FDCD72" w14:textId="77777777" w:rsidR="00823C0E" w:rsidRDefault="00823C0E">
      <w:pPr>
        <w:rPr>
          <w:rFonts w:ascii="Century Gothic" w:hAnsi="Century Gothic"/>
          <w:b/>
          <w:bCs/>
          <w:color w:val="595959" w:themeColor="text1" w:themeTint="A6"/>
          <w:sz w:val="24"/>
          <w:szCs w:val="24"/>
        </w:rPr>
      </w:pPr>
    </w:p>
    <w:p w14:paraId="3DE3E235" w14:textId="77777777" w:rsidR="00823C0E" w:rsidRDefault="00823C0E">
      <w:pPr>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597B3386" w:rsidR="00762D74" w:rsidRPr="00762D74" w:rsidRDefault="00762D74">
      <w:pPr>
        <w:rPr>
          <w:rFonts w:ascii="Century Gothic" w:hAnsi="Century Gothic"/>
          <w:b/>
          <w:bCs/>
          <w:color w:val="595959" w:themeColor="text1" w:themeTint="A6"/>
          <w:sz w:val="24"/>
          <w:szCs w:val="24"/>
        </w:rPr>
      </w:pPr>
    </w:p>
    <w:sectPr w:rsidR="00762D74" w:rsidRPr="00762D74" w:rsidSect="00A1594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E6C3B"/>
    <w:rsid w:val="0022017E"/>
    <w:rsid w:val="002E1AA8"/>
    <w:rsid w:val="004A7DA5"/>
    <w:rsid w:val="004B535F"/>
    <w:rsid w:val="00515C0D"/>
    <w:rsid w:val="0074342C"/>
    <w:rsid w:val="00762D74"/>
    <w:rsid w:val="00823C0E"/>
    <w:rsid w:val="009D4580"/>
    <w:rsid w:val="00A1594C"/>
    <w:rsid w:val="00A93C31"/>
    <w:rsid w:val="00D2241B"/>
    <w:rsid w:val="00DE6F6A"/>
    <w:rsid w:val="00E327DC"/>
    <w:rsid w:val="00EE1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11980&amp;utm_source=template-word&amp;utm_medium=content&amp;utm_campaign=Simple+Case+Study+Example-word-11980&amp;lpa=Simple+Case+Study+Example+word+11980"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8</cp:revision>
  <dcterms:created xsi:type="dcterms:W3CDTF">2024-01-09T19:14:00Z</dcterms:created>
  <dcterms:modified xsi:type="dcterms:W3CDTF">2024-02-29T23:10:00Z</dcterms:modified>
</cp:coreProperties>
</file>