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A36A4" w14:textId="74813D7C" w:rsidR="00686F22" w:rsidRPr="00DC0BDD" w:rsidRDefault="00D25E75" w:rsidP="00D25E75">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DC0BDD">
        <w:rPr>
          <w:rFonts w:cs="Arial"/>
          <w:b/>
          <w:noProof/>
          <w:color w:val="595959" w:themeColor="text1" w:themeTint="A6"/>
          <w:sz w:val="44"/>
          <w:szCs w:val="44"/>
        </w:rPr>
        <w:drawing>
          <wp:anchor distT="0" distB="0" distL="114300" distR="114300" simplePos="0" relativeHeight="251658240" behindDoc="0" locked="0" layoutInCell="1" allowOverlap="1" wp14:anchorId="26CE257A" wp14:editId="7BD5643B">
            <wp:simplePos x="0" y="0"/>
            <wp:positionH relativeFrom="column">
              <wp:posOffset>4136390</wp:posOffset>
            </wp:positionH>
            <wp:positionV relativeFrom="paragraph">
              <wp:posOffset>71120</wp:posOffset>
            </wp:positionV>
            <wp:extent cx="2745430" cy="381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45430" cy="3810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FC2E50">
        <w:rPr>
          <w:b/>
          <w:color w:val="595959" w:themeColor="text1" w:themeTint="A6"/>
          <w:sz w:val="44"/>
          <w:szCs w:val="44"/>
        </w:rPr>
        <w:t xml:space="preserve">SIMPLE </w:t>
      </w:r>
      <w:r w:rsidR="00DC0BDD">
        <w:rPr>
          <w:b/>
          <w:color w:val="595959" w:themeColor="text1" w:themeTint="A6"/>
          <w:sz w:val="44"/>
          <w:szCs w:val="44"/>
        </w:rPr>
        <w:t>ANNUAL MARKETIN</w:t>
      </w:r>
      <w:r w:rsidR="00ED6B99">
        <w:rPr>
          <w:b/>
          <w:color w:val="595959" w:themeColor="text1" w:themeTint="A6"/>
          <w:sz w:val="44"/>
          <w:szCs w:val="44"/>
        </w:rPr>
        <w:t>G</w:t>
      </w:r>
      <w:r w:rsidR="00DC0BDD">
        <w:rPr>
          <w:b/>
          <w:color w:val="595959" w:themeColor="text1" w:themeTint="A6"/>
          <w:sz w:val="44"/>
          <w:szCs w:val="44"/>
        </w:rPr>
        <w:t xml:space="preserve"> </w:t>
      </w:r>
      <w:r w:rsidR="00FC2E50">
        <w:rPr>
          <w:b/>
          <w:color w:val="595959" w:themeColor="text1" w:themeTint="A6"/>
          <w:sz w:val="44"/>
          <w:szCs w:val="44"/>
        </w:rPr>
        <w:br/>
      </w:r>
      <w:r w:rsidR="00DC0BDD">
        <w:rPr>
          <w:b/>
          <w:color w:val="595959" w:themeColor="text1" w:themeTint="A6"/>
          <w:sz w:val="44"/>
          <w:szCs w:val="44"/>
        </w:rPr>
        <w:t>REPORT</w:t>
      </w:r>
      <w:r w:rsidR="00FC2E50">
        <w:rPr>
          <w:b/>
          <w:color w:val="595959" w:themeColor="text1" w:themeTint="A6"/>
          <w:sz w:val="44"/>
          <w:szCs w:val="44"/>
        </w:rPr>
        <w:t xml:space="preserve"> </w:t>
      </w:r>
      <w:r w:rsidR="00DC0BDD">
        <w:rPr>
          <w:b/>
          <w:color w:val="595959" w:themeColor="text1" w:themeTint="A6"/>
          <w:sz w:val="44"/>
          <w:szCs w:val="44"/>
        </w:rPr>
        <w:t>TEMPLATE</w:t>
      </w:r>
      <w:r w:rsidR="00E94A37">
        <w:rPr>
          <w:b/>
          <w:color w:val="595959" w:themeColor="text1" w:themeTint="A6"/>
          <w:sz w:val="44"/>
          <w:szCs w:val="44"/>
        </w:rPr>
        <w:t xml:space="preserve"> EXAMPLE</w:t>
      </w:r>
    </w:p>
    <w:p w14:paraId="2A6EE0EF" w14:textId="3EFC88E8" w:rsidR="00034EB5" w:rsidRDefault="006D7686" w:rsidP="00A32F89">
      <w:pPr>
        <w:rPr>
          <w:b/>
          <w:color w:val="808080" w:themeColor="background1" w:themeShade="80"/>
          <w:sz w:val="36"/>
        </w:rPr>
      </w:pPr>
      <w:r>
        <w:rPr>
          <w:noProof/>
          <w:color w:val="44546A" w:themeColor="text2"/>
          <w:sz w:val="28"/>
          <w:szCs w:val="28"/>
        </w:rPr>
        <w:drawing>
          <wp:anchor distT="0" distB="0" distL="114300" distR="114300" simplePos="0" relativeHeight="251662336" behindDoc="1" locked="0" layoutInCell="1" allowOverlap="1" wp14:anchorId="5B1229CB" wp14:editId="3E421862">
            <wp:simplePos x="0" y="0"/>
            <wp:positionH relativeFrom="column">
              <wp:posOffset>-2724230</wp:posOffset>
            </wp:positionH>
            <wp:positionV relativeFrom="paragraph">
              <wp:posOffset>368381</wp:posOffset>
            </wp:positionV>
            <wp:extent cx="12062657" cy="8031442"/>
            <wp:effectExtent l="0" t="3493" r="0" b="0"/>
            <wp:wrapNone/>
            <wp:docPr id="530781804"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81804" name="Picture 2" descr="A close up of colorful lines&#10;&#10;Description automatically generated"/>
                    <pic:cNvPicPr/>
                  </pic:nvPicPr>
                  <pic:blipFill>
                    <a:blip r:embed="rId10">
                      <a:alphaModFix amt="11000"/>
                      <a:extLst>
                        <a:ext uri="{28A0092B-C50C-407E-A947-70E740481C1C}">
                          <a14:useLocalDpi xmlns:a14="http://schemas.microsoft.com/office/drawing/2010/main" val="0"/>
                        </a:ext>
                      </a:extLst>
                    </a:blip>
                    <a:stretch>
                      <a:fillRect/>
                    </a:stretch>
                  </pic:blipFill>
                  <pic:spPr>
                    <a:xfrm rot="5400000">
                      <a:off x="0" y="0"/>
                      <a:ext cx="12069590" cy="8036058"/>
                    </a:xfrm>
                    <a:prstGeom prst="rect">
                      <a:avLst/>
                    </a:prstGeom>
                  </pic:spPr>
                </pic:pic>
              </a:graphicData>
            </a:graphic>
            <wp14:sizeRelH relativeFrom="margin">
              <wp14:pctWidth>0</wp14:pctWidth>
            </wp14:sizeRelH>
            <wp14:sizeRelV relativeFrom="margin">
              <wp14:pctHeight>0</wp14:pctHeight>
            </wp14:sizeRelV>
          </wp:anchor>
        </w:drawing>
      </w:r>
    </w:p>
    <w:p w14:paraId="7AB802DE" w14:textId="77777777" w:rsidR="00686F22" w:rsidRDefault="00686F22" w:rsidP="00A32F89"/>
    <w:p w14:paraId="0052FAE2" w14:textId="77777777" w:rsidR="00034EB5" w:rsidRDefault="00034EB5" w:rsidP="00A32F89"/>
    <w:p w14:paraId="0A6F69E0" w14:textId="77777777" w:rsidR="00034EB5" w:rsidRDefault="00034EB5" w:rsidP="00A32F89"/>
    <w:p w14:paraId="6F3D6B93" w14:textId="77777777" w:rsidR="00034EB5" w:rsidRDefault="00034EB5" w:rsidP="00A32F89"/>
    <w:p w14:paraId="2254CD46" w14:textId="718BCA60" w:rsidR="00034EB5" w:rsidRPr="006D7686" w:rsidRDefault="006D7686" w:rsidP="00034EB5">
      <w:pPr>
        <w:pStyle w:val="NoSpacing"/>
        <w:spacing w:after="100" w:afterAutospacing="1"/>
        <w:rPr>
          <w:rFonts w:ascii="Century Gothic" w:hAnsi="Century Gothic"/>
          <w:color w:val="2E74B5" w:themeColor="accent5" w:themeShade="BF"/>
          <w:sz w:val="92"/>
          <w:szCs w:val="92"/>
        </w:rPr>
      </w:pPr>
      <w:r w:rsidRPr="006D7686">
        <w:rPr>
          <w:rFonts w:ascii="Century Gothic" w:hAnsi="Century Gothic"/>
          <w:color w:val="2E74B5" w:themeColor="accent5" w:themeShade="BF"/>
          <w:sz w:val="92"/>
          <w:szCs w:val="92"/>
        </w:rPr>
        <w:t>ANNUAL REPORT</w:t>
      </w:r>
    </w:p>
    <w:p w14:paraId="2A53A9C2" w14:textId="2577FA3F" w:rsidR="00034EB5" w:rsidRPr="006D7686" w:rsidRDefault="0092699B" w:rsidP="00034EB5">
      <w:pPr>
        <w:pStyle w:val="NoSpacing"/>
        <w:spacing w:before="40" w:after="40"/>
        <w:rPr>
          <w:rFonts w:ascii="Century Gothic" w:hAnsi="Century Gothic"/>
          <w:color w:val="2E74B5" w:themeColor="accent5" w:themeShade="BF"/>
          <w:sz w:val="48"/>
          <w:szCs w:val="48"/>
        </w:rPr>
      </w:pPr>
      <w:r>
        <w:rPr>
          <w:rFonts w:ascii="Century Gothic" w:hAnsi="Century Gothic"/>
          <w:color w:val="2E74B5" w:themeColor="accent5" w:themeShade="BF"/>
          <w:sz w:val="48"/>
          <w:szCs w:val="48"/>
        </w:rPr>
        <w:t>POSITIVE CHARGE</w:t>
      </w:r>
    </w:p>
    <w:p w14:paraId="66A43B36" w14:textId="77777777" w:rsidR="00D6490B" w:rsidRPr="006D7686" w:rsidRDefault="00D6490B" w:rsidP="00034EB5">
      <w:pPr>
        <w:pStyle w:val="NoSpacing"/>
        <w:spacing w:before="40" w:after="40"/>
        <w:rPr>
          <w:rFonts w:ascii="Century Gothic" w:hAnsi="Century Gothic"/>
          <w:color w:val="2E74B5" w:themeColor="accent5" w:themeShade="BF"/>
          <w:sz w:val="28"/>
          <w:szCs w:val="28"/>
        </w:rPr>
      </w:pPr>
    </w:p>
    <w:p w14:paraId="45806840" w14:textId="77777777" w:rsidR="00034EB5" w:rsidRPr="006D7686" w:rsidRDefault="00686F22"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00/00/0000</w:t>
      </w:r>
    </w:p>
    <w:p w14:paraId="6A2C2CB9" w14:textId="77777777" w:rsidR="000430F0" w:rsidRPr="006D7686" w:rsidRDefault="000430F0" w:rsidP="00034EB5">
      <w:pPr>
        <w:pStyle w:val="NoSpacing"/>
        <w:spacing w:before="40" w:after="40"/>
        <w:rPr>
          <w:rFonts w:ascii="Century Gothic" w:hAnsi="Century Gothic"/>
          <w:color w:val="2E74B5" w:themeColor="accent5" w:themeShade="BF"/>
          <w:sz w:val="28"/>
          <w:szCs w:val="28"/>
        </w:rPr>
      </w:pPr>
    </w:p>
    <w:p w14:paraId="3BBCAE5E" w14:textId="00E86B7A" w:rsidR="000430F0" w:rsidRPr="006D7686" w:rsidRDefault="0092699B"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9206 North Van Hayden Avenue</w:t>
      </w:r>
    </w:p>
    <w:p w14:paraId="507A1AF9" w14:textId="62351182" w:rsidR="00686F22" w:rsidRPr="006D7686" w:rsidRDefault="0092699B"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Portland, OR 97203</w:t>
      </w:r>
    </w:p>
    <w:p w14:paraId="77699F97" w14:textId="5F892808" w:rsidR="0054715F" w:rsidRPr="006D7686" w:rsidRDefault="0034239A" w:rsidP="00034EB5">
      <w:pPr>
        <w:pStyle w:val="NoSpacing"/>
        <w:spacing w:before="40" w:after="40"/>
        <w:rPr>
          <w:rFonts w:ascii="Century Gothic" w:hAnsi="Century Gothic"/>
          <w:color w:val="2E74B5" w:themeColor="accent5" w:themeShade="BF"/>
          <w:sz w:val="28"/>
          <w:szCs w:val="28"/>
        </w:rPr>
      </w:pPr>
      <w:r>
        <w:rPr>
          <w:rFonts w:ascii="Century Gothic" w:hAnsi="Century Gothic"/>
          <w:color w:val="2E74B5" w:themeColor="accent5" w:themeShade="BF"/>
          <w:sz w:val="28"/>
          <w:szCs w:val="28"/>
        </w:rPr>
        <w:t>000-000-0000</w:t>
      </w:r>
    </w:p>
    <w:p w14:paraId="2A1C5B98" w14:textId="77777777" w:rsidR="0054715F"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Web Address</w:t>
      </w:r>
    </w:p>
    <w:p w14:paraId="1CF293E3" w14:textId="77777777" w:rsidR="00686F22" w:rsidRPr="006D7686" w:rsidRDefault="0054715F" w:rsidP="00034EB5">
      <w:pPr>
        <w:pStyle w:val="NoSpacing"/>
        <w:spacing w:before="40" w:after="40"/>
        <w:rPr>
          <w:rFonts w:ascii="Century Gothic" w:hAnsi="Century Gothic"/>
          <w:color w:val="2E74B5" w:themeColor="accent5" w:themeShade="BF"/>
          <w:sz w:val="28"/>
          <w:szCs w:val="28"/>
        </w:rPr>
      </w:pPr>
      <w:r w:rsidRPr="006D7686">
        <w:rPr>
          <w:rFonts w:ascii="Century Gothic" w:hAnsi="Century Gothic"/>
          <w:color w:val="2E74B5" w:themeColor="accent5" w:themeShade="BF"/>
          <w:sz w:val="28"/>
          <w:szCs w:val="28"/>
        </w:rPr>
        <w:t>Email Address</w:t>
      </w:r>
    </w:p>
    <w:p w14:paraId="0D9E6FC5" w14:textId="3EA72CCB" w:rsidR="001B2288" w:rsidRDefault="001B2288" w:rsidP="00034EB5">
      <w:pPr>
        <w:pStyle w:val="NoSpacing"/>
        <w:spacing w:before="40" w:after="40"/>
        <w:rPr>
          <w:rFonts w:ascii="Century Gothic" w:hAnsi="Century Gothic"/>
          <w:color w:val="44546A" w:themeColor="text2"/>
          <w:sz w:val="28"/>
          <w:szCs w:val="28"/>
        </w:rPr>
      </w:pPr>
    </w:p>
    <w:p w14:paraId="212031C0" w14:textId="77777777" w:rsidR="00686F22" w:rsidRDefault="00686F22" w:rsidP="00034EB5">
      <w:pPr>
        <w:pStyle w:val="NoSpacing"/>
        <w:spacing w:before="40" w:after="40"/>
        <w:rPr>
          <w:rFonts w:ascii="Century Gothic" w:hAnsi="Century Gothic"/>
          <w:color w:val="44546A" w:themeColor="text2"/>
          <w:sz w:val="28"/>
          <w:szCs w:val="28"/>
        </w:rPr>
      </w:pPr>
    </w:p>
    <w:p w14:paraId="6B2154C2" w14:textId="77777777" w:rsidR="00686F22" w:rsidRDefault="00686F22" w:rsidP="00034EB5">
      <w:pPr>
        <w:pStyle w:val="NoSpacing"/>
        <w:spacing w:before="40" w:after="40"/>
        <w:rPr>
          <w:rFonts w:ascii="Century Gothic" w:hAnsi="Century Gothic"/>
          <w:color w:val="44546A" w:themeColor="text2"/>
          <w:sz w:val="28"/>
          <w:szCs w:val="28"/>
        </w:rPr>
      </w:pPr>
    </w:p>
    <w:p w14:paraId="1C6FC134" w14:textId="77777777" w:rsidR="00686F22" w:rsidRDefault="00686F22" w:rsidP="00034EB5">
      <w:pPr>
        <w:pStyle w:val="NoSpacing"/>
        <w:spacing w:before="40" w:after="40"/>
        <w:rPr>
          <w:rFonts w:ascii="Century Gothic" w:hAnsi="Century Gothic"/>
          <w:color w:val="44546A" w:themeColor="text2"/>
          <w:sz w:val="28"/>
          <w:szCs w:val="28"/>
        </w:rPr>
      </w:pPr>
    </w:p>
    <w:p w14:paraId="0653B226" w14:textId="77777777" w:rsidR="00686F22" w:rsidRDefault="00686F22" w:rsidP="00034EB5">
      <w:pPr>
        <w:pStyle w:val="NoSpacing"/>
        <w:spacing w:before="40" w:after="40"/>
        <w:rPr>
          <w:rFonts w:ascii="Century Gothic" w:hAnsi="Century Gothic"/>
          <w:color w:val="44546A" w:themeColor="text2"/>
          <w:sz w:val="28"/>
          <w:szCs w:val="28"/>
        </w:rPr>
      </w:pPr>
    </w:p>
    <w:p w14:paraId="53E60F81" w14:textId="77777777" w:rsidR="00686F22" w:rsidRDefault="00686F22" w:rsidP="00034EB5">
      <w:pPr>
        <w:pStyle w:val="NoSpacing"/>
        <w:spacing w:before="40" w:after="40"/>
        <w:rPr>
          <w:rFonts w:ascii="Century Gothic" w:hAnsi="Century Gothic"/>
          <w:color w:val="44546A" w:themeColor="text2"/>
          <w:sz w:val="28"/>
          <w:szCs w:val="28"/>
        </w:rPr>
      </w:pPr>
    </w:p>
    <w:p w14:paraId="3BEDAE71" w14:textId="77777777" w:rsidR="00686F22" w:rsidRDefault="00686F22" w:rsidP="00034EB5">
      <w:pPr>
        <w:pStyle w:val="NoSpacing"/>
        <w:spacing w:before="40" w:after="40"/>
        <w:rPr>
          <w:rFonts w:ascii="Century Gothic" w:hAnsi="Century Gothic"/>
          <w:color w:val="44546A" w:themeColor="text2"/>
          <w:sz w:val="28"/>
          <w:szCs w:val="28"/>
        </w:rPr>
      </w:pPr>
    </w:p>
    <w:p w14:paraId="2849F214" w14:textId="77777777" w:rsidR="00686F22" w:rsidRPr="003C713F" w:rsidRDefault="00686F22" w:rsidP="00034EB5">
      <w:pPr>
        <w:pStyle w:val="NoSpacing"/>
        <w:spacing w:before="40" w:after="40"/>
        <w:rPr>
          <w:rFonts w:ascii="Century Gothic" w:hAnsi="Century Gothic"/>
          <w:color w:val="44546A" w:themeColor="text2"/>
          <w:sz w:val="28"/>
          <w:szCs w:val="28"/>
        </w:rPr>
      </w:pPr>
    </w:p>
    <w:p w14:paraId="37D8B89E"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102F4697" w14:textId="77777777" w:rsidR="00034EB5" w:rsidRPr="00034EB5" w:rsidRDefault="00034EB5" w:rsidP="00034EB5">
      <w:pPr>
        <w:pStyle w:val="NoSpacing"/>
        <w:spacing w:before="40" w:after="40"/>
        <w:rPr>
          <w:rFonts w:ascii="Century Gothic" w:hAnsi="Century Gothic"/>
          <w:color w:val="44546A" w:themeColor="text2"/>
          <w:sz w:val="20"/>
          <w:szCs w:val="20"/>
        </w:rPr>
      </w:pPr>
    </w:p>
    <w:p w14:paraId="00B3C362" w14:textId="77777777" w:rsidR="00A32F89" w:rsidRDefault="00A32F89" w:rsidP="00A32F89"/>
    <w:tbl>
      <w:tblPr>
        <w:tblpPr w:leftFromText="180" w:rightFromText="180" w:vertAnchor="text" w:horzAnchor="margin" w:tblpY="119"/>
        <w:tblW w:w="4997" w:type="pct"/>
        <w:tblLook w:val="04A0" w:firstRow="1" w:lastRow="0" w:firstColumn="1" w:lastColumn="0" w:noHBand="0" w:noVBand="1"/>
      </w:tblPr>
      <w:tblGrid>
        <w:gridCol w:w="1309"/>
        <w:gridCol w:w="2721"/>
        <w:gridCol w:w="613"/>
        <w:gridCol w:w="3504"/>
        <w:gridCol w:w="701"/>
        <w:gridCol w:w="1648"/>
      </w:tblGrid>
      <w:tr w:rsidR="00A32F89" w:rsidRPr="00491059" w14:paraId="7BCDC957" w14:textId="77777777" w:rsidTr="00A725F3">
        <w:trPr>
          <w:trHeight w:val="432"/>
        </w:trPr>
        <w:tc>
          <w:tcPr>
            <w:tcW w:w="624" w:type="pct"/>
            <w:tcBorders>
              <w:top w:val="single" w:sz="4" w:space="0" w:color="BFBFBF" w:themeColor="background1" w:themeShade="BF"/>
              <w:left w:val="single" w:sz="4" w:space="0" w:color="BFBFBF"/>
              <w:bottom w:val="single" w:sz="8" w:space="0" w:color="BFBFBF"/>
              <w:right w:val="single" w:sz="4" w:space="0" w:color="BFBFBF"/>
            </w:tcBorders>
            <w:shd w:val="clear" w:color="auto" w:fill="DEEAF6" w:themeFill="accent5" w:themeFillTint="33"/>
            <w:vAlign w:val="center"/>
            <w:hideMark/>
          </w:tcPr>
          <w:p w14:paraId="0B5B46BE"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PREPARED BY</w:t>
            </w:r>
          </w:p>
        </w:tc>
        <w:tc>
          <w:tcPr>
            <w:tcW w:w="1296"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47B5AD15" w14:textId="00A860DA" w:rsidR="00A32F89" w:rsidRPr="00491059" w:rsidRDefault="0034239A" w:rsidP="00A32F89">
            <w:pPr>
              <w:spacing w:after="0"/>
            </w:pPr>
            <w:r>
              <w:t>Dino DeLaurenzi</w:t>
            </w:r>
          </w:p>
        </w:tc>
        <w:tc>
          <w:tcPr>
            <w:tcW w:w="292"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1FBDDD9A"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51EB2C5E" w14:textId="50115283" w:rsidR="00A32F89" w:rsidRPr="00491059" w:rsidRDefault="0034239A" w:rsidP="00A32F89">
            <w:pPr>
              <w:spacing w:after="0"/>
            </w:pPr>
            <w:r>
              <w:t>Chief Marketing Officer</w:t>
            </w:r>
          </w:p>
        </w:tc>
        <w:tc>
          <w:tcPr>
            <w:tcW w:w="334" w:type="pct"/>
            <w:tcBorders>
              <w:top w:val="single" w:sz="4" w:space="0" w:color="BFBFBF" w:themeColor="background1" w:themeShade="BF"/>
              <w:left w:val="nil"/>
              <w:bottom w:val="single" w:sz="8" w:space="0" w:color="BFBFBF"/>
              <w:right w:val="single" w:sz="4" w:space="0" w:color="BFBFBF"/>
            </w:tcBorders>
            <w:shd w:val="clear" w:color="auto" w:fill="DEEAF6" w:themeFill="accent5" w:themeFillTint="33"/>
            <w:vAlign w:val="center"/>
            <w:hideMark/>
          </w:tcPr>
          <w:p w14:paraId="461200AB"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4" w:space="0" w:color="BFBFBF" w:themeColor="background1" w:themeShade="BF"/>
              <w:left w:val="nil"/>
              <w:bottom w:val="single" w:sz="8" w:space="0" w:color="BFBFBF"/>
              <w:right w:val="single" w:sz="4" w:space="0" w:color="BFBFBF"/>
            </w:tcBorders>
            <w:shd w:val="clear" w:color="000000" w:fill="EDEDED"/>
            <w:vAlign w:val="center"/>
          </w:tcPr>
          <w:p w14:paraId="3BB076E3" w14:textId="427A0F2A" w:rsidR="00A32F89" w:rsidRPr="00491059" w:rsidRDefault="0034239A" w:rsidP="00A32F89">
            <w:pPr>
              <w:spacing w:after="0"/>
            </w:pPr>
            <w:r>
              <w:t>MM/DD/YY</w:t>
            </w:r>
          </w:p>
        </w:tc>
      </w:tr>
      <w:tr w:rsidR="00A32F89" w:rsidRPr="00491059" w14:paraId="28943A6D" w14:textId="77777777" w:rsidTr="00A725F3">
        <w:trPr>
          <w:trHeight w:val="432"/>
        </w:trPr>
        <w:tc>
          <w:tcPr>
            <w:tcW w:w="624" w:type="pct"/>
            <w:tcBorders>
              <w:top w:val="single" w:sz="8" w:space="0" w:color="BFBFBF"/>
              <w:left w:val="single" w:sz="4" w:space="0" w:color="BFBFBF"/>
              <w:bottom w:val="single" w:sz="8" w:space="0" w:color="BFBFBF"/>
              <w:right w:val="single" w:sz="4" w:space="0" w:color="BFBFBF"/>
            </w:tcBorders>
            <w:shd w:val="clear" w:color="auto" w:fill="DEEAF6" w:themeFill="accent5" w:themeFillTint="33"/>
            <w:vAlign w:val="center"/>
          </w:tcPr>
          <w:p w14:paraId="20B1F782"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APPROVED BY</w:t>
            </w:r>
          </w:p>
        </w:tc>
        <w:tc>
          <w:tcPr>
            <w:tcW w:w="1296" w:type="pct"/>
            <w:tcBorders>
              <w:top w:val="single" w:sz="8" w:space="0" w:color="BFBFBF"/>
              <w:left w:val="nil"/>
              <w:bottom w:val="single" w:sz="8" w:space="0" w:color="BFBFBF"/>
              <w:right w:val="single" w:sz="4" w:space="0" w:color="BFBFBF"/>
            </w:tcBorders>
            <w:shd w:val="clear" w:color="000000" w:fill="EDEDED"/>
            <w:vAlign w:val="center"/>
          </w:tcPr>
          <w:p w14:paraId="6670F517" w14:textId="75805993" w:rsidR="00A32F89" w:rsidRPr="00491059" w:rsidRDefault="0034239A" w:rsidP="00A32F89">
            <w:pPr>
              <w:spacing w:after="0"/>
            </w:pPr>
            <w:r>
              <w:t>Gino Masterson</w:t>
            </w:r>
          </w:p>
        </w:tc>
        <w:tc>
          <w:tcPr>
            <w:tcW w:w="292"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6775C68"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TITLE</w:t>
            </w:r>
          </w:p>
        </w:tc>
        <w:tc>
          <w:tcPr>
            <w:tcW w:w="1669" w:type="pct"/>
            <w:tcBorders>
              <w:top w:val="single" w:sz="8" w:space="0" w:color="BFBFBF"/>
              <w:left w:val="nil"/>
              <w:bottom w:val="single" w:sz="8" w:space="0" w:color="BFBFBF"/>
              <w:right w:val="single" w:sz="4" w:space="0" w:color="BFBFBF"/>
            </w:tcBorders>
            <w:shd w:val="clear" w:color="000000" w:fill="EDEDED"/>
            <w:vAlign w:val="center"/>
          </w:tcPr>
          <w:p w14:paraId="7C20CE94" w14:textId="4EE604FD" w:rsidR="00A32F89" w:rsidRPr="00491059" w:rsidRDefault="0034239A" w:rsidP="00A32F89">
            <w:pPr>
              <w:spacing w:after="0"/>
            </w:pPr>
            <w:r>
              <w:t>Chief Economic Officer</w:t>
            </w:r>
          </w:p>
        </w:tc>
        <w:tc>
          <w:tcPr>
            <w:tcW w:w="334" w:type="pct"/>
            <w:tcBorders>
              <w:top w:val="single" w:sz="8" w:space="0" w:color="BFBFBF"/>
              <w:left w:val="nil"/>
              <w:bottom w:val="single" w:sz="8" w:space="0" w:color="BFBFBF"/>
              <w:right w:val="single" w:sz="4" w:space="0" w:color="BFBFBF"/>
            </w:tcBorders>
            <w:shd w:val="clear" w:color="auto" w:fill="DEEAF6" w:themeFill="accent5" w:themeFillTint="33"/>
            <w:vAlign w:val="center"/>
          </w:tcPr>
          <w:p w14:paraId="11A20AF0" w14:textId="77777777" w:rsidR="00A32F89" w:rsidRPr="00A725F3" w:rsidRDefault="00A32F89" w:rsidP="00A32F89">
            <w:pPr>
              <w:spacing w:after="0"/>
              <w:rPr>
                <w:b/>
                <w:color w:val="2E74B5" w:themeColor="accent5" w:themeShade="BF"/>
                <w:sz w:val="16"/>
              </w:rPr>
            </w:pPr>
            <w:r w:rsidRPr="00A725F3">
              <w:rPr>
                <w:b/>
                <w:color w:val="2E74B5" w:themeColor="accent5" w:themeShade="BF"/>
                <w:sz w:val="16"/>
              </w:rPr>
              <w:t>DATE</w:t>
            </w:r>
          </w:p>
        </w:tc>
        <w:tc>
          <w:tcPr>
            <w:tcW w:w="785" w:type="pct"/>
            <w:tcBorders>
              <w:top w:val="single" w:sz="8" w:space="0" w:color="BFBFBF"/>
              <w:left w:val="nil"/>
              <w:bottom w:val="single" w:sz="8" w:space="0" w:color="BFBFBF"/>
              <w:right w:val="single" w:sz="4" w:space="0" w:color="BFBFBF"/>
            </w:tcBorders>
            <w:shd w:val="clear" w:color="000000" w:fill="EDEDED"/>
            <w:vAlign w:val="center"/>
          </w:tcPr>
          <w:p w14:paraId="108A66BE" w14:textId="5B9A5B1D" w:rsidR="00A32F89" w:rsidRPr="00491059" w:rsidRDefault="0034239A" w:rsidP="00A32F89">
            <w:pPr>
              <w:spacing w:after="0"/>
            </w:pPr>
            <w:r>
              <w:t>MM/DD/YY</w:t>
            </w:r>
          </w:p>
        </w:tc>
      </w:tr>
    </w:tbl>
    <w:p w14:paraId="5992324D" w14:textId="77777777" w:rsidR="00A32F89" w:rsidRDefault="00A32F89" w:rsidP="00A32F89"/>
    <w:p w14:paraId="58A0917B" w14:textId="77777777" w:rsidR="00CB693F" w:rsidRDefault="00CB693F" w:rsidP="00C805C2">
      <w:pPr>
        <w:spacing w:line="240" w:lineRule="auto"/>
        <w:rPr>
          <w:rFonts w:cs="Times New Roman (Body CS)"/>
          <w:caps/>
          <w:color w:val="595959" w:themeColor="text1" w:themeTint="A6"/>
          <w:szCs w:val="20"/>
        </w:rPr>
      </w:pPr>
    </w:p>
    <w:sdt>
      <w:sdtPr>
        <w:rPr>
          <w:rFonts w:ascii="Century Gothic" w:eastAsiaTheme="minorHAnsi" w:hAnsi="Century Gothic" w:cstheme="minorBidi"/>
          <w:caps w:val="0"/>
          <w:color w:val="2E74B5" w:themeColor="accent5" w:themeShade="BF"/>
          <w:sz w:val="44"/>
          <w:szCs w:val="44"/>
        </w:rPr>
        <w:id w:val="-40835831"/>
        <w:docPartObj>
          <w:docPartGallery w:val="Table of Contents"/>
          <w:docPartUnique/>
        </w:docPartObj>
      </w:sdtPr>
      <w:sdtEndPr>
        <w:rPr>
          <w:b/>
          <w:bCs/>
          <w:noProof/>
          <w:color w:val="auto"/>
          <w:sz w:val="20"/>
          <w:szCs w:val="20"/>
        </w:rPr>
      </w:sdtEndPr>
      <w:sdtContent>
        <w:p w14:paraId="6E40B9D4" w14:textId="77777777" w:rsidR="0027725D" w:rsidRPr="00A725F3" w:rsidRDefault="0027725D" w:rsidP="00397870">
          <w:pPr>
            <w:pStyle w:val="TOCHeading"/>
            <w:spacing w:line="360" w:lineRule="auto"/>
            <w:rPr>
              <w:rFonts w:ascii="Century Gothic" w:hAnsi="Century Gothic" w:cstheme="minorHAnsi"/>
              <w:color w:val="2E74B5" w:themeColor="accent5" w:themeShade="BF"/>
              <w:sz w:val="44"/>
              <w:szCs w:val="44"/>
            </w:rPr>
          </w:pPr>
          <w:r w:rsidRPr="00A725F3">
            <w:rPr>
              <w:rFonts w:ascii="Century Gothic" w:hAnsi="Century Gothic" w:cstheme="minorHAnsi"/>
              <w:color w:val="2E74B5" w:themeColor="accent5" w:themeShade="BF"/>
              <w:sz w:val="44"/>
              <w:szCs w:val="44"/>
            </w:rPr>
            <w:t>Table of Contents</w:t>
          </w:r>
        </w:p>
        <w:p w14:paraId="6E5880C0" w14:textId="3E20DA21" w:rsidR="00E94A37" w:rsidRDefault="0027725D">
          <w:pPr>
            <w:pStyle w:val="TOC1"/>
            <w:rPr>
              <w:rFonts w:asciiTheme="minorHAnsi" w:eastAsiaTheme="minorEastAsia" w:hAnsiTheme="minorHAnsi"/>
              <w:noProof/>
              <w:kern w:val="2"/>
              <w:sz w:val="22"/>
              <w14:ligatures w14:val="standardContextual"/>
            </w:rPr>
          </w:pPr>
          <w:r w:rsidRPr="00BC4FB8">
            <w:rPr>
              <w:b/>
              <w:bCs/>
              <w:noProof/>
              <w:szCs w:val="20"/>
            </w:rPr>
            <w:fldChar w:fldCharType="begin"/>
          </w:r>
          <w:r w:rsidRPr="00BC4FB8">
            <w:rPr>
              <w:b/>
              <w:bCs/>
              <w:noProof/>
              <w:szCs w:val="20"/>
            </w:rPr>
            <w:instrText xml:space="preserve"> TOC \o "1-3" \h \z \u </w:instrText>
          </w:r>
          <w:r w:rsidRPr="00BC4FB8">
            <w:rPr>
              <w:b/>
              <w:bCs/>
              <w:noProof/>
              <w:szCs w:val="20"/>
            </w:rPr>
            <w:fldChar w:fldCharType="separate"/>
          </w:r>
          <w:hyperlink w:anchor="_Toc151900309" w:history="1">
            <w:r w:rsidR="00E94A37" w:rsidRPr="00AA71CE">
              <w:rPr>
                <w:rStyle w:val="Hyperlink"/>
                <w:noProof/>
              </w:rPr>
              <w:t>1.</w:t>
            </w:r>
            <w:r w:rsidR="00E94A37">
              <w:rPr>
                <w:rFonts w:asciiTheme="minorHAnsi" w:eastAsiaTheme="minorEastAsia" w:hAnsiTheme="minorHAnsi"/>
                <w:noProof/>
                <w:kern w:val="2"/>
                <w:sz w:val="22"/>
                <w14:ligatures w14:val="standardContextual"/>
              </w:rPr>
              <w:tab/>
            </w:r>
            <w:r w:rsidR="00E94A37" w:rsidRPr="00AA71CE">
              <w:rPr>
                <w:rStyle w:val="Hyperlink"/>
                <w:noProof/>
              </w:rPr>
              <w:t>EXECUTIVE SUMMARY</w:t>
            </w:r>
            <w:r w:rsidR="00E94A37">
              <w:rPr>
                <w:noProof/>
                <w:webHidden/>
              </w:rPr>
              <w:tab/>
            </w:r>
            <w:r w:rsidR="00E94A37">
              <w:rPr>
                <w:noProof/>
                <w:webHidden/>
              </w:rPr>
              <w:fldChar w:fldCharType="begin"/>
            </w:r>
            <w:r w:rsidR="00E94A37">
              <w:rPr>
                <w:noProof/>
                <w:webHidden/>
              </w:rPr>
              <w:instrText xml:space="preserve"> PAGEREF _Toc151900309 \h </w:instrText>
            </w:r>
            <w:r w:rsidR="00E94A37">
              <w:rPr>
                <w:noProof/>
                <w:webHidden/>
              </w:rPr>
            </w:r>
            <w:r w:rsidR="00E94A37">
              <w:rPr>
                <w:noProof/>
                <w:webHidden/>
              </w:rPr>
              <w:fldChar w:fldCharType="separate"/>
            </w:r>
            <w:r w:rsidR="00E94A37">
              <w:rPr>
                <w:noProof/>
                <w:webHidden/>
              </w:rPr>
              <w:t>3</w:t>
            </w:r>
            <w:r w:rsidR="00E94A37">
              <w:rPr>
                <w:noProof/>
                <w:webHidden/>
              </w:rPr>
              <w:fldChar w:fldCharType="end"/>
            </w:r>
          </w:hyperlink>
        </w:p>
        <w:p w14:paraId="54502668" w14:textId="32EAD6CD" w:rsidR="00E94A37" w:rsidRDefault="00000000">
          <w:pPr>
            <w:pStyle w:val="TOC1"/>
            <w:rPr>
              <w:rFonts w:asciiTheme="minorHAnsi" w:eastAsiaTheme="minorEastAsia" w:hAnsiTheme="minorHAnsi"/>
              <w:noProof/>
              <w:kern w:val="2"/>
              <w:sz w:val="22"/>
              <w14:ligatures w14:val="standardContextual"/>
            </w:rPr>
          </w:pPr>
          <w:hyperlink w:anchor="_Toc151900310" w:history="1">
            <w:r w:rsidR="00E94A37" w:rsidRPr="00AA71CE">
              <w:rPr>
                <w:rStyle w:val="Hyperlink"/>
                <w:noProof/>
              </w:rPr>
              <w:t>2.</w:t>
            </w:r>
            <w:r w:rsidR="00E94A37">
              <w:rPr>
                <w:rFonts w:asciiTheme="minorHAnsi" w:eastAsiaTheme="minorEastAsia" w:hAnsiTheme="minorHAnsi"/>
                <w:noProof/>
                <w:kern w:val="2"/>
                <w:sz w:val="22"/>
                <w14:ligatures w14:val="standardContextual"/>
              </w:rPr>
              <w:tab/>
            </w:r>
            <w:r w:rsidR="00E94A37" w:rsidRPr="00AA71CE">
              <w:rPr>
                <w:rStyle w:val="Hyperlink"/>
                <w:noProof/>
              </w:rPr>
              <w:t>TOTAL PROJECTS DELIVERED AND KEY PERFORMANCE INDICATORS (KPI)</w:t>
            </w:r>
            <w:r w:rsidR="00E94A37">
              <w:rPr>
                <w:noProof/>
                <w:webHidden/>
              </w:rPr>
              <w:tab/>
            </w:r>
            <w:r w:rsidR="00E94A37">
              <w:rPr>
                <w:noProof/>
                <w:webHidden/>
              </w:rPr>
              <w:fldChar w:fldCharType="begin"/>
            </w:r>
            <w:r w:rsidR="00E94A37">
              <w:rPr>
                <w:noProof/>
                <w:webHidden/>
              </w:rPr>
              <w:instrText xml:space="preserve"> PAGEREF _Toc151900310 \h </w:instrText>
            </w:r>
            <w:r w:rsidR="00E94A37">
              <w:rPr>
                <w:noProof/>
                <w:webHidden/>
              </w:rPr>
            </w:r>
            <w:r w:rsidR="00E94A37">
              <w:rPr>
                <w:noProof/>
                <w:webHidden/>
              </w:rPr>
              <w:fldChar w:fldCharType="separate"/>
            </w:r>
            <w:r w:rsidR="00E94A37">
              <w:rPr>
                <w:noProof/>
                <w:webHidden/>
              </w:rPr>
              <w:t>3</w:t>
            </w:r>
            <w:r w:rsidR="00E94A37">
              <w:rPr>
                <w:noProof/>
                <w:webHidden/>
              </w:rPr>
              <w:fldChar w:fldCharType="end"/>
            </w:r>
          </w:hyperlink>
        </w:p>
        <w:p w14:paraId="21DE49E9" w14:textId="0E689F46" w:rsidR="00E94A37" w:rsidRDefault="00000000">
          <w:pPr>
            <w:pStyle w:val="TOC1"/>
            <w:rPr>
              <w:rFonts w:asciiTheme="minorHAnsi" w:eastAsiaTheme="minorEastAsia" w:hAnsiTheme="minorHAnsi"/>
              <w:noProof/>
              <w:kern w:val="2"/>
              <w:sz w:val="22"/>
              <w14:ligatures w14:val="standardContextual"/>
            </w:rPr>
          </w:pPr>
          <w:hyperlink w:anchor="_Toc151900311" w:history="1">
            <w:r w:rsidR="00E94A37" w:rsidRPr="00AA71CE">
              <w:rPr>
                <w:rStyle w:val="Hyperlink"/>
                <w:noProof/>
              </w:rPr>
              <w:t>3.</w:t>
            </w:r>
            <w:r w:rsidR="00E94A37">
              <w:rPr>
                <w:rFonts w:asciiTheme="minorHAnsi" w:eastAsiaTheme="minorEastAsia" w:hAnsiTheme="minorHAnsi"/>
                <w:noProof/>
                <w:kern w:val="2"/>
                <w:sz w:val="22"/>
                <w14:ligatures w14:val="standardContextual"/>
              </w:rPr>
              <w:tab/>
            </w:r>
            <w:r w:rsidR="00E94A37" w:rsidRPr="00AA71CE">
              <w:rPr>
                <w:rStyle w:val="Hyperlink"/>
                <w:noProof/>
              </w:rPr>
              <w:t>MARKETING AND FINANCIAL OVERVIEW</w:t>
            </w:r>
            <w:r w:rsidR="00E94A37">
              <w:rPr>
                <w:noProof/>
                <w:webHidden/>
              </w:rPr>
              <w:tab/>
            </w:r>
            <w:r w:rsidR="00E94A37">
              <w:rPr>
                <w:noProof/>
                <w:webHidden/>
              </w:rPr>
              <w:fldChar w:fldCharType="begin"/>
            </w:r>
            <w:r w:rsidR="00E94A37">
              <w:rPr>
                <w:noProof/>
                <w:webHidden/>
              </w:rPr>
              <w:instrText xml:space="preserve"> PAGEREF _Toc151900311 \h </w:instrText>
            </w:r>
            <w:r w:rsidR="00E94A37">
              <w:rPr>
                <w:noProof/>
                <w:webHidden/>
              </w:rPr>
            </w:r>
            <w:r w:rsidR="00E94A37">
              <w:rPr>
                <w:noProof/>
                <w:webHidden/>
              </w:rPr>
              <w:fldChar w:fldCharType="separate"/>
            </w:r>
            <w:r w:rsidR="00E94A37">
              <w:rPr>
                <w:noProof/>
                <w:webHidden/>
              </w:rPr>
              <w:t>4</w:t>
            </w:r>
            <w:r w:rsidR="00E94A37">
              <w:rPr>
                <w:noProof/>
                <w:webHidden/>
              </w:rPr>
              <w:fldChar w:fldCharType="end"/>
            </w:r>
          </w:hyperlink>
        </w:p>
        <w:p w14:paraId="67C63939" w14:textId="2E5109F2" w:rsidR="00E94A37" w:rsidRDefault="00000000">
          <w:pPr>
            <w:pStyle w:val="TOC1"/>
            <w:rPr>
              <w:rFonts w:asciiTheme="minorHAnsi" w:eastAsiaTheme="minorEastAsia" w:hAnsiTheme="minorHAnsi"/>
              <w:noProof/>
              <w:kern w:val="2"/>
              <w:sz w:val="22"/>
              <w14:ligatures w14:val="standardContextual"/>
            </w:rPr>
          </w:pPr>
          <w:hyperlink w:anchor="_Toc151900312" w:history="1">
            <w:r w:rsidR="00E94A37" w:rsidRPr="00AA71CE">
              <w:rPr>
                <w:rStyle w:val="Hyperlink"/>
                <w:noProof/>
              </w:rPr>
              <w:t>4.</w:t>
            </w:r>
            <w:r w:rsidR="00E94A37">
              <w:rPr>
                <w:rFonts w:asciiTheme="minorHAnsi" w:eastAsiaTheme="minorEastAsia" w:hAnsiTheme="minorHAnsi"/>
                <w:noProof/>
                <w:kern w:val="2"/>
                <w:sz w:val="22"/>
                <w14:ligatures w14:val="standardContextual"/>
              </w:rPr>
              <w:tab/>
            </w:r>
            <w:r w:rsidR="00E94A37" w:rsidRPr="00AA71CE">
              <w:rPr>
                <w:rStyle w:val="Hyperlink"/>
                <w:noProof/>
              </w:rPr>
              <w:t>CONCLUSION</w:t>
            </w:r>
            <w:r w:rsidR="00E94A37">
              <w:rPr>
                <w:noProof/>
                <w:webHidden/>
              </w:rPr>
              <w:tab/>
            </w:r>
            <w:r w:rsidR="00E94A37">
              <w:rPr>
                <w:noProof/>
                <w:webHidden/>
              </w:rPr>
              <w:fldChar w:fldCharType="begin"/>
            </w:r>
            <w:r w:rsidR="00E94A37">
              <w:rPr>
                <w:noProof/>
                <w:webHidden/>
              </w:rPr>
              <w:instrText xml:space="preserve"> PAGEREF _Toc151900312 \h </w:instrText>
            </w:r>
            <w:r w:rsidR="00E94A37">
              <w:rPr>
                <w:noProof/>
                <w:webHidden/>
              </w:rPr>
            </w:r>
            <w:r w:rsidR="00E94A37">
              <w:rPr>
                <w:noProof/>
                <w:webHidden/>
              </w:rPr>
              <w:fldChar w:fldCharType="separate"/>
            </w:r>
            <w:r w:rsidR="00E94A37">
              <w:rPr>
                <w:noProof/>
                <w:webHidden/>
              </w:rPr>
              <w:t>4</w:t>
            </w:r>
            <w:r w:rsidR="00E94A37">
              <w:rPr>
                <w:noProof/>
                <w:webHidden/>
              </w:rPr>
              <w:fldChar w:fldCharType="end"/>
            </w:r>
          </w:hyperlink>
        </w:p>
        <w:p w14:paraId="506447B3" w14:textId="3A8E27C8" w:rsidR="0027725D" w:rsidRPr="00C805C2" w:rsidRDefault="0027725D" w:rsidP="00015290">
          <w:pPr>
            <w:tabs>
              <w:tab w:val="right" w:leader="dot" w:pos="10260"/>
            </w:tabs>
            <w:spacing w:line="480" w:lineRule="auto"/>
            <w:ind w:left="-540"/>
            <w:rPr>
              <w:szCs w:val="20"/>
            </w:rPr>
          </w:pPr>
          <w:r w:rsidRPr="00BC4FB8">
            <w:rPr>
              <w:b/>
              <w:bCs/>
              <w:noProof/>
              <w:szCs w:val="20"/>
            </w:rPr>
            <w:fldChar w:fldCharType="end"/>
          </w:r>
        </w:p>
      </w:sdtContent>
    </w:sdt>
    <w:p w14:paraId="321F7971" w14:textId="77777777" w:rsidR="00692B21" w:rsidRDefault="00692B21" w:rsidP="00C805C2">
      <w:pPr>
        <w:spacing w:line="240" w:lineRule="auto"/>
        <w:rPr>
          <w:szCs w:val="20"/>
        </w:rPr>
      </w:pPr>
    </w:p>
    <w:p w14:paraId="07E207A4" w14:textId="77777777" w:rsidR="00CA7A2A" w:rsidRDefault="00CA7A2A" w:rsidP="008721D7">
      <w:pPr>
        <w:pStyle w:val="Heading1"/>
        <w:spacing w:line="240" w:lineRule="auto"/>
        <w:rPr>
          <w:szCs w:val="28"/>
        </w:rPr>
      </w:pPr>
    </w:p>
    <w:p w14:paraId="47000931" w14:textId="77777777" w:rsidR="00E94A37" w:rsidRPr="00E94A37" w:rsidRDefault="00E94A37" w:rsidP="00E94A37"/>
    <w:p w14:paraId="6D33C5D6" w14:textId="173668D3" w:rsidR="00E94A37" w:rsidRPr="00E94A37" w:rsidRDefault="00E94A37" w:rsidP="00E94A37">
      <w:pPr>
        <w:tabs>
          <w:tab w:val="left" w:pos="3885"/>
        </w:tabs>
      </w:pPr>
      <w:r>
        <w:tab/>
      </w:r>
    </w:p>
    <w:p w14:paraId="7C82AE9A" w14:textId="763981D3" w:rsidR="00E94A37" w:rsidRPr="00E94A37" w:rsidRDefault="00E94A37" w:rsidP="00E94A37">
      <w:pPr>
        <w:tabs>
          <w:tab w:val="left" w:pos="3885"/>
        </w:tabs>
        <w:sectPr w:rsidR="00E94A37" w:rsidRPr="00E94A37"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r>
        <w:tab/>
      </w:r>
    </w:p>
    <w:p w14:paraId="3C713FE2" w14:textId="40DFFAC4" w:rsidR="008721D7" w:rsidRDefault="00686F22" w:rsidP="00D0504F">
      <w:pPr>
        <w:pStyle w:val="Heading1"/>
        <w:numPr>
          <w:ilvl w:val="0"/>
          <w:numId w:val="1"/>
        </w:numPr>
        <w:spacing w:line="240" w:lineRule="auto"/>
        <w:rPr>
          <w:szCs w:val="28"/>
        </w:rPr>
      </w:pPr>
      <w:bookmarkStart w:id="5" w:name="_Toc151900309"/>
      <w:r>
        <w:rPr>
          <w:szCs w:val="28"/>
        </w:rPr>
        <w:lastRenderedPageBreak/>
        <w:t>EXECUTIVE SUMMARY</w:t>
      </w:r>
      <w:bookmarkEnd w:id="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455FC5" w14:paraId="154DAF7A" w14:textId="77777777" w:rsidTr="00607BE1">
        <w:trPr>
          <w:trHeight w:val="5161"/>
        </w:trPr>
        <w:tc>
          <w:tcPr>
            <w:tcW w:w="10502" w:type="dxa"/>
            <w:shd w:val="clear" w:color="auto" w:fill="F2F2F2" w:themeFill="background1" w:themeFillShade="F2"/>
            <w:vAlign w:val="center"/>
          </w:tcPr>
          <w:p w14:paraId="2682C71F" w14:textId="77777777" w:rsidR="008D7AE5" w:rsidRDefault="008D7AE5" w:rsidP="008D7AE5">
            <w:r>
              <w:t>Annual Marketing Report for Positive Charge</w:t>
            </w:r>
          </w:p>
          <w:p w14:paraId="021DA889" w14:textId="77777777" w:rsidR="008D7AE5" w:rsidRDefault="008D7AE5" w:rsidP="008D7AE5"/>
          <w:p w14:paraId="18D0976B" w14:textId="46D7530E" w:rsidR="00455FC5" w:rsidRDefault="008D7AE5" w:rsidP="008D7AE5">
            <w:r>
              <w:t>In the past year, Positive Charge has established itself as a leading force in the electric vehicle (EV) charging industry, underlined by our state-of-the-art EV-charging supplies and impeccable logistics services. Our marketing efforts have been primarily channeled towards raising awareness about the eco-friendly benefits of EVs and positioning our brand as a trusted solution for efficient and reliable charging needs. The adoption of targeted digital campaigns, partnerships with key industry influencers, and attendance at top-tier green energy conferences have led to a substantial 45% increase in brand awareness and a 35% growth in sales. The year has been marked by strategic expansions into new regions and launching innovative charging products, catering to both domestic and commercial segments. As we step into the next year, our marketing vision is focused on solidifying our reputation, pioneering new technologies, and continuing our mission to drive a sustainable future for all.</w:t>
            </w:r>
          </w:p>
        </w:tc>
      </w:tr>
    </w:tbl>
    <w:p w14:paraId="55B58363" w14:textId="77777777" w:rsidR="00455FC5" w:rsidRPr="00455FC5" w:rsidRDefault="00455FC5" w:rsidP="00455FC5"/>
    <w:p w14:paraId="2188B47E" w14:textId="01417E01" w:rsidR="0087163D" w:rsidRDefault="002F63B8" w:rsidP="0087163D">
      <w:pPr>
        <w:pStyle w:val="Heading1"/>
        <w:numPr>
          <w:ilvl w:val="0"/>
          <w:numId w:val="1"/>
        </w:numPr>
        <w:spacing w:line="240" w:lineRule="auto"/>
        <w:rPr>
          <w:szCs w:val="28"/>
        </w:rPr>
      </w:pPr>
      <w:bookmarkStart w:id="6" w:name="_Toc151900310"/>
      <w:r>
        <w:rPr>
          <w:szCs w:val="28"/>
        </w:rPr>
        <w:t>total projects delivered and key performance indicators (KPI)</w:t>
      </w:r>
      <w:bookmarkEnd w:id="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87163D" w14:paraId="32F25D68" w14:textId="77777777" w:rsidTr="00057024">
        <w:trPr>
          <w:trHeight w:val="5161"/>
        </w:trPr>
        <w:tc>
          <w:tcPr>
            <w:tcW w:w="10502" w:type="dxa"/>
            <w:shd w:val="clear" w:color="auto" w:fill="DEEAF6" w:themeFill="accent5" w:themeFillTint="33"/>
            <w:vAlign w:val="center"/>
          </w:tcPr>
          <w:p w14:paraId="1A96DD9D" w14:textId="77777777" w:rsidR="0007282E" w:rsidRDefault="0007282E" w:rsidP="0007282E">
            <w:r>
              <w:t>Total Projects Delivered &amp; Key Performance Indicators (KPIs): Annual Marketing Report for Positive Charge</w:t>
            </w:r>
          </w:p>
          <w:p w14:paraId="28C08C21" w14:textId="77777777" w:rsidR="0007282E" w:rsidRDefault="0007282E" w:rsidP="0007282E"/>
          <w:p w14:paraId="69DDA157" w14:textId="77777777" w:rsidR="0007282E" w:rsidRPr="0007282E" w:rsidRDefault="0007282E" w:rsidP="0007282E">
            <w:pPr>
              <w:rPr>
                <w:b/>
                <w:bCs/>
              </w:rPr>
            </w:pPr>
            <w:r w:rsidRPr="0007282E">
              <w:rPr>
                <w:b/>
                <w:bCs/>
              </w:rPr>
              <w:t>Total Projects Delivered in [Year]:</w:t>
            </w:r>
          </w:p>
          <w:p w14:paraId="0CEF2C7B" w14:textId="3964C4C6" w:rsidR="0007282E" w:rsidRDefault="0007282E" w:rsidP="0007282E">
            <w:r>
              <w:t>1. Residential Charging Installations: Successfully completed 1,200 installations in private residences.</w:t>
            </w:r>
          </w:p>
          <w:p w14:paraId="2423F786" w14:textId="77777777" w:rsidR="0007282E" w:rsidRDefault="0007282E" w:rsidP="0007282E">
            <w:r>
              <w:t>2. Commercial Charging Stations: Established 300 new stations across key commercial hubs and partnered with 50 businesses to provide workplace charging solutions.</w:t>
            </w:r>
          </w:p>
          <w:p w14:paraId="0EDB1250" w14:textId="77777777" w:rsidR="0007282E" w:rsidRDefault="0007282E" w:rsidP="0007282E">
            <w:r>
              <w:t>3. Public Charging Network Expansion: Added 150 new public EV charging points in urban and highway locations.</w:t>
            </w:r>
          </w:p>
          <w:p w14:paraId="71D22E4F" w14:textId="77777777" w:rsidR="0007282E" w:rsidRDefault="0007282E" w:rsidP="0007282E">
            <w:r>
              <w:t>4. Green Energy Collaborations: Partnered with 10 renewable energy providers to supply green electricity for our charging stations.</w:t>
            </w:r>
          </w:p>
          <w:p w14:paraId="7F76A5C4" w14:textId="77777777" w:rsidR="0007282E" w:rsidRDefault="0007282E" w:rsidP="0007282E">
            <w:r>
              <w:t>5. Custom Logistics Solutions: Designed and implemented 45 tailor-made EV charging logistics systems for large-scale operations.</w:t>
            </w:r>
          </w:p>
          <w:p w14:paraId="05C25654" w14:textId="77777777" w:rsidR="0007282E" w:rsidRDefault="0007282E" w:rsidP="0007282E"/>
          <w:p w14:paraId="0B768D64" w14:textId="77777777" w:rsidR="0007282E" w:rsidRPr="0007282E" w:rsidRDefault="0007282E" w:rsidP="0007282E">
            <w:pPr>
              <w:rPr>
                <w:b/>
                <w:bCs/>
              </w:rPr>
            </w:pPr>
            <w:r w:rsidRPr="0007282E">
              <w:rPr>
                <w:b/>
                <w:bCs/>
              </w:rPr>
              <w:t>Key Performance Indicators (KPIs) Used:</w:t>
            </w:r>
          </w:p>
          <w:p w14:paraId="489BA16E" w14:textId="77777777" w:rsidR="0007282E" w:rsidRDefault="0007282E" w:rsidP="0007282E">
            <w:r>
              <w:t xml:space="preserve">1. </w:t>
            </w:r>
            <w:r w:rsidRPr="00D165D0">
              <w:rPr>
                <w:u w:val="single"/>
              </w:rPr>
              <w:t>Project Completion Rate:</w:t>
            </w:r>
            <w:r>
              <w:t xml:space="preserve"> Monitored the number of projects delivered on time against the set targets.</w:t>
            </w:r>
          </w:p>
          <w:p w14:paraId="58CD19A2" w14:textId="77777777" w:rsidR="0007282E" w:rsidRDefault="0007282E" w:rsidP="0007282E">
            <w:r>
              <w:t xml:space="preserve">2. </w:t>
            </w:r>
            <w:r w:rsidRPr="00D165D0">
              <w:rPr>
                <w:u w:val="single"/>
              </w:rPr>
              <w:t>Customer Satisfaction Score (CSAT):</w:t>
            </w:r>
            <w:r>
              <w:t xml:space="preserve"> Used post-installation surveys to gauge the happiness and satisfaction of our residential and commercial customers.</w:t>
            </w:r>
          </w:p>
          <w:p w14:paraId="45B0BB2C" w14:textId="77777777" w:rsidR="0007282E" w:rsidRDefault="0007282E" w:rsidP="0007282E">
            <w:r>
              <w:t xml:space="preserve">3. </w:t>
            </w:r>
            <w:r w:rsidRPr="00D165D0">
              <w:rPr>
                <w:u w:val="single"/>
              </w:rPr>
              <w:t>Utilization Rate:</w:t>
            </w:r>
            <w:r>
              <w:t xml:space="preserve"> Measured the percentage of time our public charging stations were in use, indicating demand and efficiency.</w:t>
            </w:r>
          </w:p>
          <w:p w14:paraId="09C33C9D" w14:textId="77777777" w:rsidR="0007282E" w:rsidRDefault="0007282E" w:rsidP="0007282E">
            <w:r>
              <w:t xml:space="preserve">4. </w:t>
            </w:r>
            <w:r w:rsidRPr="00D165D0">
              <w:rPr>
                <w:u w:val="single"/>
              </w:rPr>
              <w:t>Operational Uptime:</w:t>
            </w:r>
            <w:r>
              <w:t xml:space="preserve"> Ensured that each charging station maintained a 98% (or above) operational uptime.</w:t>
            </w:r>
          </w:p>
          <w:p w14:paraId="6A983475" w14:textId="77777777" w:rsidR="0007282E" w:rsidRDefault="0007282E" w:rsidP="0007282E">
            <w:r>
              <w:t xml:space="preserve">5. </w:t>
            </w:r>
            <w:r w:rsidRPr="00D165D0">
              <w:rPr>
                <w:u w:val="single"/>
              </w:rPr>
              <w:t>Energy Source Rating:</w:t>
            </w:r>
            <w:r>
              <w:t xml:space="preserve"> Tracked the percentage of energy sourced from green and renewable providers for our stations.</w:t>
            </w:r>
          </w:p>
          <w:p w14:paraId="18FD1C1A" w14:textId="77777777" w:rsidR="00D165D0" w:rsidRDefault="00D165D0" w:rsidP="0007282E"/>
          <w:p w14:paraId="1480F98D" w14:textId="6BE706CF" w:rsidR="0087163D" w:rsidRDefault="0007282E" w:rsidP="0007282E">
            <w:r>
              <w:t>Moving forward, Positive Charge aims to utilize these KPIs not just as performance metrics but also as guideposts to further enhance our service quality and customer experience in the EV charging sector.</w:t>
            </w:r>
          </w:p>
        </w:tc>
      </w:tr>
    </w:tbl>
    <w:p w14:paraId="1D8C8296" w14:textId="68E3DCD7" w:rsidR="00057024" w:rsidRDefault="002F63B8" w:rsidP="00057024">
      <w:pPr>
        <w:pStyle w:val="Heading1"/>
        <w:numPr>
          <w:ilvl w:val="0"/>
          <w:numId w:val="1"/>
        </w:numPr>
        <w:spacing w:line="240" w:lineRule="auto"/>
        <w:rPr>
          <w:szCs w:val="28"/>
        </w:rPr>
      </w:pPr>
      <w:bookmarkStart w:id="7" w:name="_Toc151900311"/>
      <w:r>
        <w:rPr>
          <w:szCs w:val="28"/>
        </w:rPr>
        <w:lastRenderedPageBreak/>
        <w:t>MARKETING AND FINANCIAL OVERVIEW</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057024" w14:paraId="1CEAC728" w14:textId="77777777" w:rsidTr="00EC174E">
        <w:trPr>
          <w:trHeight w:val="5161"/>
        </w:trPr>
        <w:tc>
          <w:tcPr>
            <w:tcW w:w="10502" w:type="dxa"/>
            <w:shd w:val="clear" w:color="auto" w:fill="F2F2F2" w:themeFill="background1" w:themeFillShade="F2"/>
            <w:vAlign w:val="center"/>
          </w:tcPr>
          <w:p w14:paraId="065D104C" w14:textId="7EDFF631" w:rsidR="00F02672" w:rsidRDefault="00F02672" w:rsidP="00F02672">
            <w:r>
              <w:t>Annual Marketing Financial Overview (Year): Positive Charge EV-Charging Solutions</w:t>
            </w:r>
          </w:p>
          <w:p w14:paraId="3B46E97C" w14:textId="77777777" w:rsidR="00F02672" w:rsidRPr="00F02672" w:rsidRDefault="00F02672" w:rsidP="00F02672">
            <w:pPr>
              <w:rPr>
                <w:b/>
                <w:bCs/>
              </w:rPr>
            </w:pPr>
            <w:r w:rsidRPr="00F02672">
              <w:rPr>
                <w:b/>
                <w:bCs/>
              </w:rPr>
              <w:t>Total Marketing Budget for [Year]: $500,000</w:t>
            </w:r>
          </w:p>
          <w:p w14:paraId="5E0BBD77" w14:textId="77777777" w:rsidR="00F02672" w:rsidRDefault="00F02672" w:rsidP="00F02672">
            <w:r>
              <w:t>Expenditure Breakdown:</w:t>
            </w:r>
          </w:p>
          <w:p w14:paraId="0A877E57" w14:textId="77777777" w:rsidR="00F02672" w:rsidRPr="00F02672" w:rsidRDefault="00F02672" w:rsidP="00F02672">
            <w:pPr>
              <w:rPr>
                <w:u w:val="single"/>
              </w:rPr>
            </w:pPr>
            <w:r w:rsidRPr="00F02672">
              <w:rPr>
                <w:u w:val="single"/>
              </w:rPr>
              <w:t>1. Digital Advertising: $150,000</w:t>
            </w:r>
          </w:p>
          <w:p w14:paraId="14DF62CB" w14:textId="77777777" w:rsidR="00F02672" w:rsidRDefault="00F02672" w:rsidP="00F02672">
            <w:r>
              <w:t>- Main Platforms Used: Google Ads, Facebook, Instagram, LinkedIn.</w:t>
            </w:r>
          </w:p>
          <w:p w14:paraId="4F8D150E" w14:textId="77777777" w:rsidR="00F02672" w:rsidRDefault="00F02672" w:rsidP="00F02672">
            <w:r>
              <w:t>- Key Highlights: Achieved 2M impressions, generated 30,000 site visits with a conversion rate of 3%.</w:t>
            </w:r>
          </w:p>
          <w:p w14:paraId="7379FE1E" w14:textId="77777777" w:rsidR="00F02672" w:rsidRPr="00F02672" w:rsidRDefault="00F02672" w:rsidP="00F02672">
            <w:pPr>
              <w:rPr>
                <w:u w:val="single"/>
              </w:rPr>
            </w:pPr>
            <w:r w:rsidRPr="00F02672">
              <w:rPr>
                <w:u w:val="single"/>
              </w:rPr>
              <w:t>2. Event Sponsorships &amp; Partnerships: $75,000</w:t>
            </w:r>
          </w:p>
          <w:p w14:paraId="43E2673B" w14:textId="77777777" w:rsidR="00F02672" w:rsidRDefault="00F02672" w:rsidP="00F02672">
            <w:r>
              <w:t>- Events Sponsored: 5 major green energy expos, 3 automotive fairs.</w:t>
            </w:r>
          </w:p>
          <w:p w14:paraId="75C49E55" w14:textId="77777777" w:rsidR="00F02672" w:rsidRDefault="00F02672" w:rsidP="00F02672">
            <w:r>
              <w:t>- Outcomes: Established partnerships with 2 significant auto manufacturers, gained 10,000+ direct leads from event attendees.</w:t>
            </w:r>
          </w:p>
          <w:p w14:paraId="459DA3E6" w14:textId="77777777" w:rsidR="00F02672" w:rsidRPr="00F02672" w:rsidRDefault="00F02672" w:rsidP="00F02672">
            <w:pPr>
              <w:rPr>
                <w:u w:val="single"/>
              </w:rPr>
            </w:pPr>
            <w:r w:rsidRPr="00F02672">
              <w:rPr>
                <w:u w:val="single"/>
              </w:rPr>
              <w:t>3. Content Creation &amp; SEO: $50,000</w:t>
            </w:r>
          </w:p>
          <w:p w14:paraId="28040126" w14:textId="77777777" w:rsidR="00F02672" w:rsidRDefault="00F02672" w:rsidP="00F02672">
            <w:r>
              <w:t>- Achievements: Published 25 blog posts, 10 guest articles, and achieved 1st-page ranking for 15 key industry-specific keywords.</w:t>
            </w:r>
          </w:p>
          <w:p w14:paraId="502F3612" w14:textId="77777777" w:rsidR="00F02672" w:rsidRPr="00F02672" w:rsidRDefault="00F02672" w:rsidP="00F02672">
            <w:pPr>
              <w:rPr>
                <w:u w:val="single"/>
              </w:rPr>
            </w:pPr>
            <w:r w:rsidRPr="00F02672">
              <w:rPr>
                <w:u w:val="single"/>
              </w:rPr>
              <w:t>4. Influencer Collaborations: $40,000</w:t>
            </w:r>
          </w:p>
          <w:p w14:paraId="58A3BAF8" w14:textId="77777777" w:rsidR="00F02672" w:rsidRDefault="00F02672" w:rsidP="00F02672">
            <w:r>
              <w:t>- Engagements: Partnered with 5 major automotive influencers for promotional content.</w:t>
            </w:r>
          </w:p>
          <w:p w14:paraId="29D78A8A" w14:textId="77777777" w:rsidR="00F02672" w:rsidRDefault="00F02672" w:rsidP="00F02672">
            <w:r>
              <w:t>- Results: Reached an audience of 5M, with 100,000 direct engagements (likes, shares, comments).</w:t>
            </w:r>
          </w:p>
          <w:p w14:paraId="5D405867" w14:textId="77777777" w:rsidR="00F02672" w:rsidRPr="007A0800" w:rsidRDefault="00F02672" w:rsidP="00F02672">
            <w:pPr>
              <w:rPr>
                <w:u w:val="single"/>
              </w:rPr>
            </w:pPr>
            <w:r w:rsidRPr="007A0800">
              <w:rPr>
                <w:u w:val="single"/>
              </w:rPr>
              <w:t>5. Email Marketing Campaigns: $25,000</w:t>
            </w:r>
          </w:p>
          <w:p w14:paraId="0734B837" w14:textId="77777777" w:rsidR="00F02672" w:rsidRDefault="00F02672" w:rsidP="00F02672">
            <w:r>
              <w:t>- Campaigns Run: 12 (monthly newsletters) + 6 promotional.</w:t>
            </w:r>
          </w:p>
          <w:p w14:paraId="677A992B" w14:textId="77777777" w:rsidR="00F02672" w:rsidRDefault="00F02672" w:rsidP="00F02672">
            <w:r>
              <w:t>- Success Metrics: Average open rate of 25%, with a 5% conversion from email promotions.</w:t>
            </w:r>
          </w:p>
          <w:p w14:paraId="3ACF9A21" w14:textId="77777777" w:rsidR="00F02672" w:rsidRPr="007A0800" w:rsidRDefault="00F02672" w:rsidP="00F02672">
            <w:pPr>
              <w:rPr>
                <w:u w:val="single"/>
              </w:rPr>
            </w:pPr>
            <w:r w:rsidRPr="007A0800">
              <w:rPr>
                <w:u w:val="single"/>
              </w:rPr>
              <w:t>6. Public Relations &amp; Media Spots: $60,000</w:t>
            </w:r>
          </w:p>
          <w:p w14:paraId="6CF2DA20" w14:textId="77777777" w:rsidR="00F02672" w:rsidRDefault="00F02672" w:rsidP="00F02672">
            <w:r>
              <w:t>- Appearances: Featured in 10 industry magazines, 5 TV spots, and 15 online publications.</w:t>
            </w:r>
          </w:p>
          <w:p w14:paraId="0CC40977" w14:textId="77777777" w:rsidR="00F02672" w:rsidRDefault="00F02672" w:rsidP="00F02672">
            <w:r>
              <w:t>- Impact: Increased brand recognition, reached an estimated audience of 10M.</w:t>
            </w:r>
          </w:p>
          <w:p w14:paraId="73309F3F" w14:textId="77777777" w:rsidR="00F02672" w:rsidRPr="007A0800" w:rsidRDefault="00F02672" w:rsidP="00F02672">
            <w:pPr>
              <w:rPr>
                <w:u w:val="single"/>
              </w:rPr>
            </w:pPr>
            <w:r w:rsidRPr="007A0800">
              <w:rPr>
                <w:u w:val="single"/>
              </w:rPr>
              <w:t>7. Print &amp; Outdoor Advertising: $50,000</w:t>
            </w:r>
          </w:p>
          <w:p w14:paraId="3A6E377E" w14:textId="77777777" w:rsidR="00F02672" w:rsidRDefault="00F02672" w:rsidP="00F02672">
            <w:r>
              <w:t>- Ventures: Billboards in key cities, magazine ads, and transportation hub placements.</w:t>
            </w:r>
          </w:p>
          <w:p w14:paraId="70303DA2" w14:textId="77777777" w:rsidR="00F02672" w:rsidRDefault="00F02672" w:rsidP="00F02672">
            <w:r>
              <w:t>- Engagements: Generated 5,000+ direct inquiries, boosted local brand recognition.</w:t>
            </w:r>
          </w:p>
          <w:p w14:paraId="322727A3" w14:textId="77777777" w:rsidR="00F02672" w:rsidRPr="007A0800" w:rsidRDefault="00F02672" w:rsidP="00F02672">
            <w:pPr>
              <w:rPr>
                <w:u w:val="single"/>
              </w:rPr>
            </w:pPr>
            <w:r w:rsidRPr="007A0800">
              <w:rPr>
                <w:u w:val="single"/>
              </w:rPr>
              <w:t>8. Collateral &amp; Merchandise Production: $30,000</w:t>
            </w:r>
          </w:p>
          <w:p w14:paraId="5D70A583" w14:textId="77777777" w:rsidR="00F02672" w:rsidRDefault="00F02672" w:rsidP="00F02672">
            <w:r>
              <w:t>- Items Produced: Branded chargers, T-shirts, informational brochures.</w:t>
            </w:r>
          </w:p>
          <w:p w14:paraId="6D3A496E" w14:textId="77777777" w:rsidR="00F02672" w:rsidRDefault="00F02672" w:rsidP="00F02672">
            <w:r>
              <w:t>- Distribution: Given at events, mailed to potential large-scale clients.</w:t>
            </w:r>
          </w:p>
          <w:p w14:paraId="127B4C64" w14:textId="77777777" w:rsidR="00F02672" w:rsidRPr="007A0800" w:rsidRDefault="00F02672" w:rsidP="00F02672">
            <w:pPr>
              <w:rPr>
                <w:u w:val="single"/>
              </w:rPr>
            </w:pPr>
            <w:r w:rsidRPr="007A0800">
              <w:rPr>
                <w:u w:val="single"/>
              </w:rPr>
              <w:t>9. Miscellaneous &amp; Contingencies: $20,000</w:t>
            </w:r>
          </w:p>
          <w:p w14:paraId="4EEDE632" w14:textId="77777777" w:rsidR="00F02672" w:rsidRDefault="00F02672" w:rsidP="00F02672">
            <w:r>
              <w:t>- Usage: Unplanned marketing opportunities, crisis management.</w:t>
            </w:r>
          </w:p>
          <w:p w14:paraId="439CA672" w14:textId="08225615" w:rsidR="00F02672" w:rsidRDefault="00F02672" w:rsidP="00F02672"/>
          <w:p w14:paraId="6BAA3BFA" w14:textId="77777777" w:rsidR="00F02672" w:rsidRPr="00E94A37" w:rsidRDefault="00F02672" w:rsidP="00F02672">
            <w:pPr>
              <w:rPr>
                <w:b/>
                <w:bCs/>
              </w:rPr>
            </w:pPr>
            <w:r w:rsidRPr="00E94A37">
              <w:rPr>
                <w:b/>
                <w:bCs/>
              </w:rPr>
              <w:t>Total Expenditure for [Year]: $500,000</w:t>
            </w:r>
          </w:p>
          <w:p w14:paraId="327A67BF" w14:textId="4A008405" w:rsidR="00057024" w:rsidRDefault="00F02672" w:rsidP="00E94A37">
            <w:r>
              <w:t>Revenue Attributed to Marketing Efforts: $2.5M (5x return on investment)</w:t>
            </w:r>
            <w:r w:rsidR="00E94A37">
              <w:t xml:space="preserve"> - </w:t>
            </w:r>
            <w:r>
              <w:t>Positive Charge has seen a significant return on its marketing investments, driving both brand recognition and tangible sales. Our focus on digital platforms, combined with traditional advertising methods and PR efforts, has solidified our standing in the EV charging sector. Looking ahead, we plan to allocate more funds towards the most lucrative channels and explore innovative marketing avenues to further enhance our reach and impact.</w:t>
            </w:r>
          </w:p>
        </w:tc>
      </w:tr>
    </w:tbl>
    <w:p w14:paraId="08A45E51" w14:textId="77777777" w:rsidR="008D12CF" w:rsidRDefault="008D12CF" w:rsidP="008D12CF"/>
    <w:p w14:paraId="32EDC8EA" w14:textId="1E75F4C9" w:rsidR="00272877" w:rsidRDefault="005E3D4C" w:rsidP="00272877">
      <w:pPr>
        <w:pStyle w:val="Heading1"/>
        <w:numPr>
          <w:ilvl w:val="0"/>
          <w:numId w:val="1"/>
        </w:numPr>
        <w:spacing w:line="240" w:lineRule="auto"/>
        <w:rPr>
          <w:szCs w:val="28"/>
        </w:rPr>
      </w:pPr>
      <w:bookmarkStart w:id="8" w:name="_Toc151900312"/>
      <w:r>
        <w:rPr>
          <w:szCs w:val="28"/>
        </w:rPr>
        <w:t>CONCLUSION</w:t>
      </w:r>
      <w:bookmarkEnd w:id="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02"/>
      </w:tblGrid>
      <w:tr w:rsidR="00272877" w14:paraId="5A18B297" w14:textId="77777777" w:rsidTr="00E94A37">
        <w:trPr>
          <w:trHeight w:val="2821"/>
        </w:trPr>
        <w:tc>
          <w:tcPr>
            <w:tcW w:w="10502" w:type="dxa"/>
            <w:shd w:val="clear" w:color="auto" w:fill="DEEAF6" w:themeFill="accent5" w:themeFillTint="33"/>
            <w:vAlign w:val="center"/>
          </w:tcPr>
          <w:p w14:paraId="061B5D52" w14:textId="77777777" w:rsidR="00E94A37" w:rsidRDefault="00E94A37" w:rsidP="00E94A37">
            <w:r>
              <w:t>Conclusion: Positive Charge Annual Marketing Report</w:t>
            </w:r>
          </w:p>
          <w:p w14:paraId="62D7CDFB" w14:textId="77777777" w:rsidR="00E94A37" w:rsidRDefault="00E94A37" w:rsidP="00E94A37"/>
          <w:p w14:paraId="674195B2" w14:textId="501BA913" w:rsidR="00272877" w:rsidRDefault="00E94A37" w:rsidP="00E94A37">
            <w:r>
              <w:t>As we reflect on this year, it's evident that Positive Charge has made monumental strides in establishing itself as a front-runner in the EV-charging supplies and logistics sector. Our focused marketing efforts have not only heightened our brand visibility but also fortified our commitment to sustainable transportation. The results from our campaigns speak volumes about the resonance of our mission with our target audience. As we gear up for the next year, we remain committed to innovation, expanding our reach, and above all, driving the global transition to electric mobility. Our success story thus far is just the beginning, and with our dynamic marketing strategies in play, the future holds boundless possibilities for Positive Charge.</w:t>
            </w:r>
          </w:p>
        </w:tc>
      </w:tr>
    </w:tbl>
    <w:p w14:paraId="5D38254F" w14:textId="77777777" w:rsidR="00272877" w:rsidRDefault="00272877" w:rsidP="008D12CF">
      <w:pPr>
        <w:sectPr w:rsidR="00272877" w:rsidSect="004B09C6">
          <w:pgSz w:w="12240" w:h="15840"/>
          <w:pgMar w:top="1300" w:right="720" w:bottom="1040" w:left="1008" w:header="490" w:footer="720" w:gutter="0"/>
          <w:cols w:space="720"/>
          <w:titlePg/>
          <w:docGrid w:linePitch="360"/>
        </w:sectPr>
      </w:pPr>
    </w:p>
    <w:p w14:paraId="2D7C83AE" w14:textId="77777777" w:rsidR="000B0D07" w:rsidRDefault="000B0D07" w:rsidP="00C805C2">
      <w:pPr>
        <w:spacing w:line="240" w:lineRule="auto"/>
        <w:rPr>
          <w:i/>
          <w:szCs w:val="20"/>
        </w:rPr>
      </w:pPr>
    </w:p>
    <w:p w14:paraId="1CD487F3" w14:textId="77777777" w:rsidR="000B0D07" w:rsidRDefault="000B0D07" w:rsidP="00C805C2">
      <w:pPr>
        <w:spacing w:line="240" w:lineRule="auto"/>
        <w:rPr>
          <w:i/>
          <w:szCs w:val="20"/>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025532" w14:paraId="592F1784" w14:textId="77777777" w:rsidTr="00EC174E">
        <w:trPr>
          <w:trHeight w:val="2687"/>
        </w:trPr>
        <w:tc>
          <w:tcPr>
            <w:tcW w:w="10669" w:type="dxa"/>
          </w:tcPr>
          <w:p w14:paraId="7BB4FB3E" w14:textId="77777777" w:rsidR="00025532" w:rsidRPr="00692C04" w:rsidRDefault="00025532" w:rsidP="00EC174E">
            <w:pPr>
              <w:jc w:val="center"/>
              <w:rPr>
                <w:rFonts w:cs="Arial"/>
                <w:b/>
                <w:szCs w:val="20"/>
              </w:rPr>
            </w:pPr>
            <w:r w:rsidRPr="00692C04">
              <w:rPr>
                <w:rFonts w:cs="Arial"/>
                <w:b/>
                <w:szCs w:val="20"/>
              </w:rPr>
              <w:t>DISCLAIMER</w:t>
            </w:r>
          </w:p>
          <w:p w14:paraId="69176AE4" w14:textId="77777777" w:rsidR="00025532" w:rsidRDefault="00025532" w:rsidP="00EC174E">
            <w:pPr>
              <w:rPr>
                <w:rFonts w:cs="Arial"/>
                <w:szCs w:val="20"/>
              </w:rPr>
            </w:pPr>
          </w:p>
          <w:p w14:paraId="426C8B76" w14:textId="77777777" w:rsidR="00025532" w:rsidRDefault="00025532" w:rsidP="00EC174E">
            <w:pPr>
              <w:rPr>
                <w:rFonts w:cs="Arial"/>
                <w:szCs w:val="20"/>
              </w:rPr>
            </w:pPr>
            <w:r w:rsidRPr="00641741">
              <w:rPr>
                <w:rFonts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EA60122" w14:textId="77777777" w:rsidR="00025532" w:rsidRDefault="00025532" w:rsidP="00025532">
      <w:pPr>
        <w:rPr>
          <w:rFonts w:cs="Arial"/>
          <w:szCs w:val="20"/>
        </w:rPr>
      </w:pPr>
    </w:p>
    <w:p w14:paraId="418681EB" w14:textId="77777777" w:rsidR="00025532" w:rsidRPr="00D3383E" w:rsidRDefault="00025532" w:rsidP="00025532">
      <w:pPr>
        <w:rPr>
          <w:rFonts w:cs="Arial"/>
          <w:szCs w:val="20"/>
        </w:rPr>
      </w:pPr>
    </w:p>
    <w:p w14:paraId="1ED6858D" w14:textId="77777777" w:rsidR="00A64F9A" w:rsidRPr="00C805C2" w:rsidRDefault="00A64F9A" w:rsidP="00C805C2">
      <w:pPr>
        <w:spacing w:line="240" w:lineRule="auto"/>
        <w:rPr>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CAE75" w14:textId="77777777" w:rsidR="00A9429E" w:rsidRDefault="00A9429E" w:rsidP="00480F66">
      <w:pPr>
        <w:spacing w:after="0" w:line="240" w:lineRule="auto"/>
      </w:pPr>
      <w:r>
        <w:separator/>
      </w:r>
    </w:p>
  </w:endnote>
  <w:endnote w:type="continuationSeparator" w:id="0">
    <w:p w14:paraId="345D8997" w14:textId="77777777" w:rsidR="00A9429E" w:rsidRDefault="00A9429E"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D722" w14:textId="09A6A51A"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Pr="00770091">
      <w:rPr>
        <w:bCs/>
      </w:rPr>
      <w:t>3</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159B3"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795563">
      <w:rPr>
        <w:bCs/>
        <w:noProof/>
      </w:rPr>
      <w:t>6</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9FAB1" w14:textId="77777777" w:rsidR="00A9429E" w:rsidRDefault="00A9429E" w:rsidP="00480F66">
      <w:pPr>
        <w:spacing w:after="0" w:line="240" w:lineRule="auto"/>
      </w:pPr>
      <w:r>
        <w:separator/>
      </w:r>
    </w:p>
  </w:footnote>
  <w:footnote w:type="continuationSeparator" w:id="0">
    <w:p w14:paraId="78ECEEE7" w14:textId="77777777" w:rsidR="00A9429E" w:rsidRDefault="00A9429E"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542E"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C9"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64220CBA"/>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19978540">
    <w:abstractNumId w:val="5"/>
  </w:num>
  <w:num w:numId="2" w16cid:durableId="641665533">
    <w:abstractNumId w:val="2"/>
  </w:num>
  <w:num w:numId="3" w16cid:durableId="2134596398">
    <w:abstractNumId w:val="1"/>
  </w:num>
  <w:num w:numId="4" w16cid:durableId="865096339">
    <w:abstractNumId w:val="9"/>
  </w:num>
  <w:num w:numId="5" w16cid:durableId="554121129">
    <w:abstractNumId w:val="11"/>
  </w:num>
  <w:num w:numId="6" w16cid:durableId="1327827179">
    <w:abstractNumId w:val="8"/>
  </w:num>
  <w:num w:numId="7" w16cid:durableId="1133403379">
    <w:abstractNumId w:val="7"/>
  </w:num>
  <w:num w:numId="8" w16cid:durableId="2086755361">
    <w:abstractNumId w:val="4"/>
  </w:num>
  <w:num w:numId="9" w16cid:durableId="974796287">
    <w:abstractNumId w:val="6"/>
  </w:num>
  <w:num w:numId="10" w16cid:durableId="1795634202">
    <w:abstractNumId w:val="12"/>
  </w:num>
  <w:num w:numId="11" w16cid:durableId="335497496">
    <w:abstractNumId w:val="10"/>
  </w:num>
  <w:num w:numId="12" w16cid:durableId="133177333">
    <w:abstractNumId w:val="3"/>
  </w:num>
  <w:num w:numId="13" w16cid:durableId="68717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336CCE"/>
    <w:rsid w:val="000124C0"/>
    <w:rsid w:val="00015290"/>
    <w:rsid w:val="00025532"/>
    <w:rsid w:val="00034EB5"/>
    <w:rsid w:val="000430F0"/>
    <w:rsid w:val="000439D0"/>
    <w:rsid w:val="00043B56"/>
    <w:rsid w:val="0004771F"/>
    <w:rsid w:val="000555F6"/>
    <w:rsid w:val="00057024"/>
    <w:rsid w:val="00066D26"/>
    <w:rsid w:val="0007282E"/>
    <w:rsid w:val="00084DC6"/>
    <w:rsid w:val="000B0D07"/>
    <w:rsid w:val="000C7A8B"/>
    <w:rsid w:val="000E13F9"/>
    <w:rsid w:val="000F603A"/>
    <w:rsid w:val="00104901"/>
    <w:rsid w:val="00104E3A"/>
    <w:rsid w:val="00112F9D"/>
    <w:rsid w:val="001228CB"/>
    <w:rsid w:val="00126273"/>
    <w:rsid w:val="00130D91"/>
    <w:rsid w:val="00143339"/>
    <w:rsid w:val="00144067"/>
    <w:rsid w:val="001543C6"/>
    <w:rsid w:val="00180A80"/>
    <w:rsid w:val="00184DC6"/>
    <w:rsid w:val="00186202"/>
    <w:rsid w:val="001A628F"/>
    <w:rsid w:val="001B2288"/>
    <w:rsid w:val="001C6DA8"/>
    <w:rsid w:val="001D5547"/>
    <w:rsid w:val="00203F44"/>
    <w:rsid w:val="002123FA"/>
    <w:rsid w:val="00223549"/>
    <w:rsid w:val="00227605"/>
    <w:rsid w:val="00233CCB"/>
    <w:rsid w:val="00250EF4"/>
    <w:rsid w:val="00272877"/>
    <w:rsid w:val="002728C1"/>
    <w:rsid w:val="00274428"/>
    <w:rsid w:val="0027725D"/>
    <w:rsid w:val="00291275"/>
    <w:rsid w:val="002B17FD"/>
    <w:rsid w:val="002B385A"/>
    <w:rsid w:val="002C7130"/>
    <w:rsid w:val="002D5E3D"/>
    <w:rsid w:val="002E065B"/>
    <w:rsid w:val="002F268F"/>
    <w:rsid w:val="002F63B8"/>
    <w:rsid w:val="003008DB"/>
    <w:rsid w:val="003210AB"/>
    <w:rsid w:val="003269AD"/>
    <w:rsid w:val="00335259"/>
    <w:rsid w:val="00336CCE"/>
    <w:rsid w:val="00341FCC"/>
    <w:rsid w:val="0034239A"/>
    <w:rsid w:val="00342FAB"/>
    <w:rsid w:val="0038176E"/>
    <w:rsid w:val="003867E5"/>
    <w:rsid w:val="003870BB"/>
    <w:rsid w:val="00387B9D"/>
    <w:rsid w:val="00397870"/>
    <w:rsid w:val="00397DBE"/>
    <w:rsid w:val="003B37F1"/>
    <w:rsid w:val="003C618B"/>
    <w:rsid w:val="003C6D62"/>
    <w:rsid w:val="003C713F"/>
    <w:rsid w:val="003E00DF"/>
    <w:rsid w:val="003F6D07"/>
    <w:rsid w:val="0040361B"/>
    <w:rsid w:val="00410889"/>
    <w:rsid w:val="00412703"/>
    <w:rsid w:val="00414587"/>
    <w:rsid w:val="004212C2"/>
    <w:rsid w:val="00424A44"/>
    <w:rsid w:val="00425A77"/>
    <w:rsid w:val="00434028"/>
    <w:rsid w:val="00440BD7"/>
    <w:rsid w:val="00443CC7"/>
    <w:rsid w:val="0045153B"/>
    <w:rsid w:val="00455FC5"/>
    <w:rsid w:val="00480F66"/>
    <w:rsid w:val="0048129D"/>
    <w:rsid w:val="0048156A"/>
    <w:rsid w:val="00494038"/>
    <w:rsid w:val="004B09C6"/>
    <w:rsid w:val="004C659A"/>
    <w:rsid w:val="005041B7"/>
    <w:rsid w:val="00517CA8"/>
    <w:rsid w:val="00541C9F"/>
    <w:rsid w:val="00541D2D"/>
    <w:rsid w:val="0054715F"/>
    <w:rsid w:val="00570608"/>
    <w:rsid w:val="005A16ED"/>
    <w:rsid w:val="005B1E3F"/>
    <w:rsid w:val="005C253D"/>
    <w:rsid w:val="005E3D4C"/>
    <w:rsid w:val="005F3691"/>
    <w:rsid w:val="005F3C6D"/>
    <w:rsid w:val="0060100D"/>
    <w:rsid w:val="00601E0F"/>
    <w:rsid w:val="00607BE1"/>
    <w:rsid w:val="006149B1"/>
    <w:rsid w:val="00615CFE"/>
    <w:rsid w:val="00621B2C"/>
    <w:rsid w:val="006224C1"/>
    <w:rsid w:val="006253D4"/>
    <w:rsid w:val="0062611F"/>
    <w:rsid w:val="006264BD"/>
    <w:rsid w:val="00632CB7"/>
    <w:rsid w:val="0063517B"/>
    <w:rsid w:val="0064485A"/>
    <w:rsid w:val="00647EEB"/>
    <w:rsid w:val="00667375"/>
    <w:rsid w:val="00671A46"/>
    <w:rsid w:val="00686F22"/>
    <w:rsid w:val="00692B21"/>
    <w:rsid w:val="006A0235"/>
    <w:rsid w:val="006B74C2"/>
    <w:rsid w:val="006C5F2C"/>
    <w:rsid w:val="006C6E43"/>
    <w:rsid w:val="006D7686"/>
    <w:rsid w:val="00722E71"/>
    <w:rsid w:val="00726FA6"/>
    <w:rsid w:val="00727EB9"/>
    <w:rsid w:val="00736F4E"/>
    <w:rsid w:val="00744401"/>
    <w:rsid w:val="0076173D"/>
    <w:rsid w:val="00770091"/>
    <w:rsid w:val="0077063E"/>
    <w:rsid w:val="00773199"/>
    <w:rsid w:val="0079215D"/>
    <w:rsid w:val="00795563"/>
    <w:rsid w:val="007A0800"/>
    <w:rsid w:val="007C2D33"/>
    <w:rsid w:val="007C75F7"/>
    <w:rsid w:val="007D0B2B"/>
    <w:rsid w:val="007D5EBC"/>
    <w:rsid w:val="007E79B5"/>
    <w:rsid w:val="007F744B"/>
    <w:rsid w:val="00801DF5"/>
    <w:rsid w:val="00802E66"/>
    <w:rsid w:val="0080382D"/>
    <w:rsid w:val="008047D3"/>
    <w:rsid w:val="008106B4"/>
    <w:rsid w:val="00826077"/>
    <w:rsid w:val="00851D69"/>
    <w:rsid w:val="00865101"/>
    <w:rsid w:val="0086587F"/>
    <w:rsid w:val="00870E2C"/>
    <w:rsid w:val="0087163D"/>
    <w:rsid w:val="008721D7"/>
    <w:rsid w:val="008752AF"/>
    <w:rsid w:val="00880348"/>
    <w:rsid w:val="00886DDF"/>
    <w:rsid w:val="008939B0"/>
    <w:rsid w:val="008A2B06"/>
    <w:rsid w:val="008A6212"/>
    <w:rsid w:val="008C63C4"/>
    <w:rsid w:val="008D12CF"/>
    <w:rsid w:val="008D2AB6"/>
    <w:rsid w:val="008D3852"/>
    <w:rsid w:val="008D7AE5"/>
    <w:rsid w:val="008F7553"/>
    <w:rsid w:val="00906570"/>
    <w:rsid w:val="00914AD2"/>
    <w:rsid w:val="0092117C"/>
    <w:rsid w:val="0092169A"/>
    <w:rsid w:val="0092699B"/>
    <w:rsid w:val="00947186"/>
    <w:rsid w:val="00955D6F"/>
    <w:rsid w:val="00962F3A"/>
    <w:rsid w:val="009749F6"/>
    <w:rsid w:val="00976781"/>
    <w:rsid w:val="0099531C"/>
    <w:rsid w:val="009A177A"/>
    <w:rsid w:val="009B24E9"/>
    <w:rsid w:val="009D4B4D"/>
    <w:rsid w:val="009D5EAB"/>
    <w:rsid w:val="009E4124"/>
    <w:rsid w:val="009F30CA"/>
    <w:rsid w:val="009F740D"/>
    <w:rsid w:val="00A019FF"/>
    <w:rsid w:val="00A1023C"/>
    <w:rsid w:val="00A11A26"/>
    <w:rsid w:val="00A122C8"/>
    <w:rsid w:val="00A15E56"/>
    <w:rsid w:val="00A32F89"/>
    <w:rsid w:val="00A54153"/>
    <w:rsid w:val="00A61614"/>
    <w:rsid w:val="00A64796"/>
    <w:rsid w:val="00A64F9A"/>
    <w:rsid w:val="00A6517C"/>
    <w:rsid w:val="00A725F3"/>
    <w:rsid w:val="00A72DB9"/>
    <w:rsid w:val="00A937A1"/>
    <w:rsid w:val="00A9429E"/>
    <w:rsid w:val="00AC41EA"/>
    <w:rsid w:val="00AC78FF"/>
    <w:rsid w:val="00AD0883"/>
    <w:rsid w:val="00AD378F"/>
    <w:rsid w:val="00AF0690"/>
    <w:rsid w:val="00B11A9D"/>
    <w:rsid w:val="00B14E5B"/>
    <w:rsid w:val="00B318E8"/>
    <w:rsid w:val="00B41B66"/>
    <w:rsid w:val="00B424CB"/>
    <w:rsid w:val="00B84C2A"/>
    <w:rsid w:val="00B95B2A"/>
    <w:rsid w:val="00BA189E"/>
    <w:rsid w:val="00BC4FB8"/>
    <w:rsid w:val="00BD1143"/>
    <w:rsid w:val="00BE044A"/>
    <w:rsid w:val="00BE210B"/>
    <w:rsid w:val="00BF08D2"/>
    <w:rsid w:val="00BF33A2"/>
    <w:rsid w:val="00C02A0A"/>
    <w:rsid w:val="00C04CB7"/>
    <w:rsid w:val="00C06EC0"/>
    <w:rsid w:val="00C071E7"/>
    <w:rsid w:val="00C24B15"/>
    <w:rsid w:val="00C264F2"/>
    <w:rsid w:val="00C3274A"/>
    <w:rsid w:val="00C345FD"/>
    <w:rsid w:val="00C41E1D"/>
    <w:rsid w:val="00C436EC"/>
    <w:rsid w:val="00C454ED"/>
    <w:rsid w:val="00C4718F"/>
    <w:rsid w:val="00C642BB"/>
    <w:rsid w:val="00C72135"/>
    <w:rsid w:val="00C73FC3"/>
    <w:rsid w:val="00C805C2"/>
    <w:rsid w:val="00C875A2"/>
    <w:rsid w:val="00C94911"/>
    <w:rsid w:val="00C95788"/>
    <w:rsid w:val="00CA207F"/>
    <w:rsid w:val="00CA5F14"/>
    <w:rsid w:val="00CA7A2A"/>
    <w:rsid w:val="00CB693F"/>
    <w:rsid w:val="00CE1F17"/>
    <w:rsid w:val="00CF038E"/>
    <w:rsid w:val="00CF25AC"/>
    <w:rsid w:val="00CF4E22"/>
    <w:rsid w:val="00CF7D4E"/>
    <w:rsid w:val="00D0504F"/>
    <w:rsid w:val="00D15EE8"/>
    <w:rsid w:val="00D165D0"/>
    <w:rsid w:val="00D25E75"/>
    <w:rsid w:val="00D46F77"/>
    <w:rsid w:val="00D54AED"/>
    <w:rsid w:val="00D550C5"/>
    <w:rsid w:val="00D56FC8"/>
    <w:rsid w:val="00D6357C"/>
    <w:rsid w:val="00D6490B"/>
    <w:rsid w:val="00D75CFD"/>
    <w:rsid w:val="00D802C1"/>
    <w:rsid w:val="00D81548"/>
    <w:rsid w:val="00D93AA6"/>
    <w:rsid w:val="00D95479"/>
    <w:rsid w:val="00D969E3"/>
    <w:rsid w:val="00DB5B0E"/>
    <w:rsid w:val="00DC0BDD"/>
    <w:rsid w:val="00E11F8E"/>
    <w:rsid w:val="00E539F9"/>
    <w:rsid w:val="00E53CCA"/>
    <w:rsid w:val="00E63191"/>
    <w:rsid w:val="00E8459A"/>
    <w:rsid w:val="00E94A37"/>
    <w:rsid w:val="00EB1153"/>
    <w:rsid w:val="00ED6B99"/>
    <w:rsid w:val="00F0257F"/>
    <w:rsid w:val="00F02672"/>
    <w:rsid w:val="00F02752"/>
    <w:rsid w:val="00F12F4E"/>
    <w:rsid w:val="00F21222"/>
    <w:rsid w:val="00F303EB"/>
    <w:rsid w:val="00F31A79"/>
    <w:rsid w:val="00F4066E"/>
    <w:rsid w:val="00F46CF3"/>
    <w:rsid w:val="00F67517"/>
    <w:rsid w:val="00F86879"/>
    <w:rsid w:val="00F9767C"/>
    <w:rsid w:val="00FA651C"/>
    <w:rsid w:val="00FA7A23"/>
    <w:rsid w:val="00FC2E50"/>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61549"/>
  <w15:docId w15:val="{3B8C58E6-2B74-403C-8211-92533D46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CA7A2A"/>
    <w:pPr>
      <w:keepNext/>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A2A"/>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3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tabs>
        <w:tab w:val="left" w:pos="440"/>
        <w:tab w:val="right" w:leader="dot" w:pos="10502"/>
      </w:tabs>
      <w:spacing w:after="100" w:line="360" w:lineRule="auto"/>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tabs>
        <w:tab w:val="left" w:pos="960"/>
        <w:tab w:val="right" w:leader="dot" w:pos="10260"/>
      </w:tabs>
      <w:spacing w:after="100" w:line="360" w:lineRule="auto"/>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795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5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7475">
      <w:bodyDiv w:val="1"/>
      <w:marLeft w:val="0"/>
      <w:marRight w:val="0"/>
      <w:marTop w:val="0"/>
      <w:marBottom w:val="0"/>
      <w:divBdr>
        <w:top w:val="none" w:sz="0" w:space="0" w:color="auto"/>
        <w:left w:val="none" w:sz="0" w:space="0" w:color="auto"/>
        <w:bottom w:val="none" w:sz="0" w:space="0" w:color="auto"/>
        <w:right w:val="none" w:sz="0" w:space="0" w:color="auto"/>
      </w:divBdr>
    </w:div>
    <w:div w:id="1097335642">
      <w:bodyDiv w:val="1"/>
      <w:marLeft w:val="0"/>
      <w:marRight w:val="0"/>
      <w:marTop w:val="0"/>
      <w:marBottom w:val="0"/>
      <w:divBdr>
        <w:top w:val="none" w:sz="0" w:space="0" w:color="auto"/>
        <w:left w:val="none" w:sz="0" w:space="0" w:color="auto"/>
        <w:bottom w:val="none" w:sz="0" w:space="0" w:color="auto"/>
        <w:right w:val="none" w:sz="0" w:space="0" w:color="auto"/>
      </w:divBdr>
    </w:div>
    <w:div w:id="18292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903&amp;utm_source=template-word&amp;utm_medium=content&amp;utm_campaign=Simple+Annual+Marketing+Report+Example-word-11903&amp;lpa=Simple+Annual+Marketing+Report+Example+word+1190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eDrive\Desktop\Free-Annual-Marketing-Report-Templates_Aaron_Bannister\REF\IC-Simple-Year-End-Report-Template-10685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599CA-047C-4A30-8F7B-1B9128CE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C:\Users\Bess\OneDrive\Desktop\Free-Annual-Marketing-Report-Templates_Aaron_Bannister\REF\IC-Simple-Year-End-Report-Template-10685_WORD.dotx</Template>
  <TotalTime>11</TotalTime>
  <Pages>5</Pages>
  <Words>1100</Words>
  <Characters>6270</Characters>
  <Application>Microsoft Office Word</Application>
  <DocSecurity>0</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Heather Key</cp:lastModifiedBy>
  <cp:revision>16</cp:revision>
  <cp:lastPrinted>2019-01-22T01:48:00Z</cp:lastPrinted>
  <dcterms:created xsi:type="dcterms:W3CDTF">2023-11-26T19:04:00Z</dcterms:created>
  <dcterms:modified xsi:type="dcterms:W3CDTF">2023-11-30T20:31:00Z</dcterms:modified>
</cp:coreProperties>
</file>