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3436E38E" w:rsidR="00460C54" w:rsidRPr="00161DB2" w:rsidRDefault="00B5346C" w:rsidP="0045628D">
      <w:pPr>
        <w:outlineLvl w:val="0"/>
        <w:rPr>
          <w:b/>
          <w:color w:val="595959" w:themeColor="text1" w:themeTint="A6"/>
          <w:sz w:val="44"/>
          <w:szCs w:val="44"/>
        </w:rPr>
      </w:pPr>
      <w:r w:rsidRPr="00161DB2">
        <w:rPr>
          <w:b/>
          <w:noProof/>
          <w:color w:val="595959" w:themeColor="text1" w:themeTint="A6"/>
          <w:sz w:val="44"/>
          <w:szCs w:val="44"/>
        </w:rPr>
        <w:drawing>
          <wp:anchor distT="0" distB="0" distL="114300" distR="114300" simplePos="0" relativeHeight="251620864" behindDoc="0" locked="0" layoutInCell="1" allowOverlap="1" wp14:anchorId="2EB484F6" wp14:editId="05D45584">
            <wp:simplePos x="0" y="0"/>
            <wp:positionH relativeFrom="column">
              <wp:posOffset>6191885</wp:posOffset>
            </wp:positionH>
            <wp:positionV relativeFrom="paragraph">
              <wp:posOffset>-53830</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1B24BA" w:rsidRPr="001B24BA">
        <w:rPr>
          <w:b/>
          <w:noProof/>
          <w:color w:val="595959" w:themeColor="text1" w:themeTint="A6"/>
          <w:sz w:val="44"/>
          <w:szCs w:val="44"/>
        </w:rPr>
        <w:t>Gantt Chart, PERT, CPM Compatibility Matrix</w:t>
      </w:r>
    </w:p>
    <w:p w14:paraId="373939C2" w14:textId="77777777" w:rsidR="00224734" w:rsidRPr="00161DB2" w:rsidRDefault="00224734" w:rsidP="00D022DF">
      <w:pPr>
        <w:rPr>
          <w:b/>
          <w:color w:val="A6A6A6" w:themeColor="background1" w:themeShade="A6"/>
          <w:sz w:val="13"/>
          <w:szCs w:val="18"/>
        </w:rPr>
      </w:pPr>
    </w:p>
    <w:p w14:paraId="31609D69" w14:textId="77777777" w:rsidR="001B24BA" w:rsidRPr="001B24BA" w:rsidRDefault="001B24BA" w:rsidP="001B24BA">
      <w:pPr>
        <w:pStyle w:val="Heading11"/>
        <w:spacing w:line="276" w:lineRule="auto"/>
        <w:rPr>
          <w:color w:val="595959" w:themeColor="text1" w:themeTint="A6"/>
          <w:sz w:val="28"/>
          <w:szCs w:val="28"/>
        </w:rPr>
      </w:pPr>
      <w:r w:rsidRPr="001B24BA">
        <w:rPr>
          <w:color w:val="595959" w:themeColor="text1" w:themeTint="A6"/>
          <w:sz w:val="28"/>
          <w:szCs w:val="28"/>
        </w:rPr>
        <w:t xml:space="preserve">Instructions: </w:t>
      </w:r>
    </w:p>
    <w:p w14:paraId="62839BE9" w14:textId="77777777" w:rsidR="001B24BA" w:rsidRPr="001B24BA" w:rsidRDefault="001B24BA" w:rsidP="001B24BA">
      <w:pPr>
        <w:pStyle w:val="Heading11"/>
        <w:spacing w:line="276" w:lineRule="auto"/>
        <w:rPr>
          <w:color w:val="000000" w:themeColor="text1"/>
          <w:sz w:val="21"/>
          <w:szCs w:val="21"/>
        </w:rPr>
      </w:pPr>
      <w:r w:rsidRPr="001B24BA">
        <w:rPr>
          <w:color w:val="000000" w:themeColor="text1"/>
          <w:sz w:val="21"/>
          <w:szCs w:val="21"/>
        </w:rPr>
        <w:t>1.  Print out the matrix; then gather a set of highlighters or colored pens.</w:t>
      </w:r>
    </w:p>
    <w:p w14:paraId="6E012085" w14:textId="77777777" w:rsidR="001B24BA" w:rsidRPr="001B24BA" w:rsidRDefault="001B24BA" w:rsidP="001B24BA">
      <w:pPr>
        <w:pStyle w:val="Heading11"/>
        <w:spacing w:line="276" w:lineRule="auto"/>
        <w:rPr>
          <w:color w:val="000000" w:themeColor="text1"/>
          <w:sz w:val="21"/>
          <w:szCs w:val="21"/>
        </w:rPr>
      </w:pPr>
      <w:r w:rsidRPr="001B24BA">
        <w:rPr>
          <w:color w:val="000000" w:themeColor="text1"/>
          <w:sz w:val="21"/>
          <w:szCs w:val="21"/>
        </w:rPr>
        <w:t xml:space="preserve">2.  Highlight each "I Want to" item according to its importance: green for "must-have," yellow for "nice-to-have," and red for "not necessary." </w:t>
      </w:r>
    </w:p>
    <w:p w14:paraId="72971C4A" w14:textId="77777777" w:rsidR="001B24BA" w:rsidRDefault="001B24BA" w:rsidP="001B24BA">
      <w:pPr>
        <w:pStyle w:val="Heading11"/>
        <w:spacing w:after="0" w:line="276" w:lineRule="auto"/>
        <w:rPr>
          <w:color w:val="000000" w:themeColor="text1"/>
          <w:sz w:val="21"/>
          <w:szCs w:val="21"/>
        </w:rPr>
      </w:pPr>
      <w:r w:rsidRPr="001B24BA">
        <w:rPr>
          <w:color w:val="000000" w:themeColor="text1"/>
          <w:sz w:val="21"/>
          <w:szCs w:val="21"/>
        </w:rPr>
        <w:t xml:space="preserve">3.  Compare each method's column for green "yes" responses; then consider yellow "yes" responses to determine which method best aligns </w:t>
      </w:r>
      <w:r>
        <w:rPr>
          <w:color w:val="000000" w:themeColor="text1"/>
          <w:sz w:val="21"/>
          <w:szCs w:val="21"/>
        </w:rPr>
        <w:br/>
        <w:t xml:space="preserve">     </w:t>
      </w:r>
      <w:r w:rsidRPr="001B24BA">
        <w:rPr>
          <w:color w:val="000000" w:themeColor="text1"/>
          <w:sz w:val="21"/>
          <w:szCs w:val="21"/>
        </w:rPr>
        <w:t>with your highlighted priorities.</w:t>
      </w:r>
    </w:p>
    <w:p w14:paraId="731E0E37" w14:textId="77777777" w:rsidR="001B24BA" w:rsidRPr="001B24BA" w:rsidRDefault="001B24BA" w:rsidP="001B24BA">
      <w:pPr>
        <w:pStyle w:val="Heading11"/>
        <w:spacing w:after="0" w:line="276" w:lineRule="auto"/>
        <w:rPr>
          <w:color w:val="000000" w:themeColor="text1"/>
          <w:sz w:val="16"/>
          <w:szCs w:val="16"/>
        </w:rPr>
      </w:pPr>
    </w:p>
    <w:tbl>
      <w:tblPr>
        <w:tblW w:w="14607" w:type="dxa"/>
        <w:tblLook w:val="04A0" w:firstRow="1" w:lastRow="0" w:firstColumn="1" w:lastColumn="0" w:noHBand="0" w:noVBand="1"/>
      </w:tblPr>
      <w:tblGrid>
        <w:gridCol w:w="7719"/>
        <w:gridCol w:w="1722"/>
        <w:gridCol w:w="1722"/>
        <w:gridCol w:w="1722"/>
        <w:gridCol w:w="1722"/>
      </w:tblGrid>
      <w:tr w:rsidR="001B24BA" w:rsidRPr="001B24BA" w14:paraId="2BECE1AC" w14:textId="77777777" w:rsidTr="001B24BA">
        <w:trPr>
          <w:trHeight w:val="635"/>
        </w:trPr>
        <w:tc>
          <w:tcPr>
            <w:tcW w:w="7719" w:type="dxa"/>
            <w:tcBorders>
              <w:top w:val="nil"/>
              <w:left w:val="nil"/>
              <w:bottom w:val="single" w:sz="4" w:space="0" w:color="BFBFBF"/>
              <w:right w:val="single" w:sz="4" w:space="0" w:color="BFBFBF"/>
            </w:tcBorders>
            <w:shd w:val="clear" w:color="auto" w:fill="auto"/>
            <w:vAlign w:val="center"/>
            <w:hideMark/>
          </w:tcPr>
          <w:p w14:paraId="5A075E07" w14:textId="77777777" w:rsidR="001B24BA" w:rsidRPr="001B24BA" w:rsidRDefault="001B24BA" w:rsidP="00F270D3">
            <w:pPr>
              <w:ind w:left="71"/>
              <w:rPr>
                <w:rFonts w:cs="Calibri"/>
                <w:b/>
                <w:bCs/>
                <w:color w:val="000000"/>
                <w:sz w:val="32"/>
                <w:szCs w:val="32"/>
              </w:rPr>
            </w:pPr>
            <w:r w:rsidRPr="001B24BA">
              <w:rPr>
                <w:rFonts w:cs="Calibri"/>
                <w:b/>
                <w:bCs/>
                <w:color w:val="000000"/>
                <w:sz w:val="32"/>
                <w:szCs w:val="32"/>
              </w:rPr>
              <w:t>I Want to...</w:t>
            </w:r>
          </w:p>
        </w:tc>
        <w:tc>
          <w:tcPr>
            <w:tcW w:w="1722" w:type="dxa"/>
            <w:tcBorders>
              <w:top w:val="single" w:sz="24" w:space="0" w:color="BFBFBF" w:themeColor="background1" w:themeShade="BF"/>
              <w:left w:val="nil"/>
              <w:bottom w:val="single" w:sz="4" w:space="0" w:color="BFBFBF"/>
              <w:right w:val="single" w:sz="4" w:space="0" w:color="BFBFBF"/>
            </w:tcBorders>
            <w:shd w:val="clear" w:color="000000" w:fill="93D1E0"/>
            <w:noWrap/>
            <w:vAlign w:val="center"/>
            <w:hideMark/>
          </w:tcPr>
          <w:p w14:paraId="67AF1C6A" w14:textId="77777777" w:rsidR="001B24BA" w:rsidRPr="001B24BA" w:rsidRDefault="001B24BA" w:rsidP="001B24BA">
            <w:pPr>
              <w:jc w:val="center"/>
              <w:rPr>
                <w:rFonts w:cs="Calibri"/>
                <w:b/>
                <w:bCs/>
                <w:color w:val="000000"/>
                <w:sz w:val="24"/>
              </w:rPr>
            </w:pPr>
            <w:r w:rsidRPr="001B24BA">
              <w:rPr>
                <w:rFonts w:cs="Calibri"/>
                <w:b/>
                <w:bCs/>
                <w:color w:val="000000"/>
                <w:sz w:val="24"/>
              </w:rPr>
              <w:t>CPM</w:t>
            </w:r>
          </w:p>
        </w:tc>
        <w:tc>
          <w:tcPr>
            <w:tcW w:w="1722" w:type="dxa"/>
            <w:tcBorders>
              <w:top w:val="single" w:sz="24" w:space="0" w:color="BFBFBF" w:themeColor="background1" w:themeShade="BF"/>
              <w:left w:val="nil"/>
              <w:bottom w:val="single" w:sz="4" w:space="0" w:color="BFBFBF"/>
              <w:right w:val="single" w:sz="4" w:space="0" w:color="BFBFBF"/>
            </w:tcBorders>
            <w:shd w:val="clear" w:color="000000" w:fill="99DFE5"/>
            <w:noWrap/>
            <w:vAlign w:val="center"/>
            <w:hideMark/>
          </w:tcPr>
          <w:p w14:paraId="43E20199" w14:textId="77777777" w:rsidR="001B24BA" w:rsidRPr="001B24BA" w:rsidRDefault="001B24BA" w:rsidP="001B24BA">
            <w:pPr>
              <w:jc w:val="center"/>
              <w:rPr>
                <w:rFonts w:cs="Calibri"/>
                <w:b/>
                <w:bCs/>
                <w:color w:val="000000"/>
                <w:sz w:val="24"/>
              </w:rPr>
            </w:pPr>
            <w:r w:rsidRPr="001B24BA">
              <w:rPr>
                <w:rFonts w:cs="Calibri"/>
                <w:b/>
                <w:bCs/>
                <w:color w:val="000000"/>
                <w:sz w:val="24"/>
              </w:rPr>
              <w:t>PERT</w:t>
            </w:r>
          </w:p>
        </w:tc>
        <w:tc>
          <w:tcPr>
            <w:tcW w:w="1722" w:type="dxa"/>
            <w:tcBorders>
              <w:top w:val="single" w:sz="24" w:space="0" w:color="BFBFBF" w:themeColor="background1" w:themeShade="BF"/>
              <w:left w:val="nil"/>
              <w:bottom w:val="single" w:sz="4" w:space="0" w:color="BFBFBF"/>
              <w:right w:val="single" w:sz="4" w:space="0" w:color="BFBFBF"/>
            </w:tcBorders>
            <w:shd w:val="clear" w:color="000000" w:fill="B7DEE5"/>
            <w:noWrap/>
            <w:vAlign w:val="center"/>
            <w:hideMark/>
          </w:tcPr>
          <w:p w14:paraId="5064246C" w14:textId="77777777" w:rsidR="001B24BA" w:rsidRPr="001B24BA" w:rsidRDefault="001B24BA" w:rsidP="001B24BA">
            <w:pPr>
              <w:jc w:val="center"/>
              <w:rPr>
                <w:rFonts w:cs="Calibri"/>
                <w:b/>
                <w:bCs/>
                <w:color w:val="000000"/>
                <w:sz w:val="24"/>
              </w:rPr>
            </w:pPr>
            <w:r w:rsidRPr="001B24BA">
              <w:rPr>
                <w:rFonts w:cs="Calibri"/>
                <w:b/>
                <w:bCs/>
                <w:color w:val="000000"/>
                <w:sz w:val="24"/>
              </w:rPr>
              <w:t>Gantt</w:t>
            </w:r>
          </w:p>
        </w:tc>
        <w:tc>
          <w:tcPr>
            <w:tcW w:w="1722" w:type="dxa"/>
            <w:tcBorders>
              <w:top w:val="single" w:sz="24" w:space="0" w:color="BFBFBF" w:themeColor="background1" w:themeShade="BF"/>
              <w:left w:val="nil"/>
              <w:bottom w:val="single" w:sz="4" w:space="0" w:color="BFBFBF"/>
              <w:right w:val="single" w:sz="4" w:space="0" w:color="BFBFBF"/>
            </w:tcBorders>
            <w:shd w:val="clear" w:color="000000" w:fill="C3E2DF"/>
            <w:noWrap/>
            <w:vAlign w:val="center"/>
            <w:hideMark/>
          </w:tcPr>
          <w:p w14:paraId="2CD614E8" w14:textId="77777777" w:rsidR="001B24BA" w:rsidRPr="001B24BA" w:rsidRDefault="001B24BA" w:rsidP="001B24BA">
            <w:pPr>
              <w:jc w:val="center"/>
              <w:rPr>
                <w:rFonts w:cs="Calibri"/>
                <w:b/>
                <w:bCs/>
                <w:color w:val="000000"/>
                <w:sz w:val="24"/>
              </w:rPr>
            </w:pPr>
            <w:r w:rsidRPr="001B24BA">
              <w:rPr>
                <w:rFonts w:cs="Calibri"/>
                <w:b/>
                <w:bCs/>
                <w:color w:val="000000"/>
                <w:sz w:val="24"/>
              </w:rPr>
              <w:t>CPM + PERT</w:t>
            </w:r>
          </w:p>
        </w:tc>
      </w:tr>
      <w:tr w:rsidR="001B24BA" w:rsidRPr="001B24BA" w14:paraId="15D9B722"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399A51B6" w14:textId="77777777" w:rsidR="001B24BA" w:rsidRPr="001B24BA" w:rsidRDefault="001B24BA" w:rsidP="00F270D3">
            <w:pPr>
              <w:ind w:left="71"/>
              <w:rPr>
                <w:rFonts w:cs="Calibri"/>
                <w:color w:val="000000"/>
                <w:sz w:val="24"/>
              </w:rPr>
            </w:pPr>
            <w:r w:rsidRPr="001B24BA">
              <w:rPr>
                <w:rFonts w:cs="Calibri"/>
                <w:color w:val="000000"/>
                <w:sz w:val="24"/>
              </w:rPr>
              <w:t>Analyze large and complex projects</w:t>
            </w:r>
          </w:p>
        </w:tc>
        <w:tc>
          <w:tcPr>
            <w:tcW w:w="1722" w:type="dxa"/>
            <w:tcBorders>
              <w:top w:val="nil"/>
              <w:left w:val="nil"/>
              <w:bottom w:val="single" w:sz="4" w:space="0" w:color="BFBFBF"/>
              <w:right w:val="single" w:sz="4" w:space="0" w:color="BFBFBF"/>
            </w:tcBorders>
            <w:shd w:val="clear" w:color="000000" w:fill="FFFFFF"/>
            <w:noWrap/>
            <w:vAlign w:val="center"/>
            <w:hideMark/>
          </w:tcPr>
          <w:p w14:paraId="703D7EDE"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FFFFF"/>
            <w:noWrap/>
            <w:vAlign w:val="center"/>
            <w:hideMark/>
          </w:tcPr>
          <w:p w14:paraId="0238FCFE"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5F4E56F1"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5B6A3E02" w14:textId="77777777" w:rsidR="001B24BA" w:rsidRPr="001B24BA" w:rsidRDefault="001B24BA" w:rsidP="001B24BA">
            <w:pPr>
              <w:jc w:val="center"/>
              <w:rPr>
                <w:rFonts w:cs="Calibri"/>
                <w:color w:val="000000"/>
                <w:sz w:val="24"/>
              </w:rPr>
            </w:pPr>
            <w:r w:rsidRPr="001B24BA">
              <w:rPr>
                <w:rFonts w:cs="Calibri"/>
                <w:color w:val="000000"/>
                <w:sz w:val="24"/>
              </w:rPr>
              <w:t>Yes</w:t>
            </w:r>
          </w:p>
        </w:tc>
      </w:tr>
      <w:tr w:rsidR="001B24BA" w:rsidRPr="001B24BA" w14:paraId="280D8830"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5C53561C" w14:textId="77777777" w:rsidR="001B24BA" w:rsidRPr="001B24BA" w:rsidRDefault="001B24BA" w:rsidP="00F270D3">
            <w:pPr>
              <w:ind w:left="71"/>
              <w:rPr>
                <w:rFonts w:cs="Calibri"/>
                <w:color w:val="000000"/>
                <w:sz w:val="24"/>
              </w:rPr>
            </w:pPr>
            <w:r w:rsidRPr="001B24BA">
              <w:rPr>
                <w:rFonts w:cs="Calibri"/>
                <w:color w:val="000000"/>
                <w:sz w:val="24"/>
              </w:rPr>
              <w:t>Use the critical path to determine project duration</w:t>
            </w:r>
          </w:p>
        </w:tc>
        <w:tc>
          <w:tcPr>
            <w:tcW w:w="1722" w:type="dxa"/>
            <w:tcBorders>
              <w:top w:val="nil"/>
              <w:left w:val="nil"/>
              <w:bottom w:val="single" w:sz="4" w:space="0" w:color="BFBFBF"/>
              <w:right w:val="single" w:sz="4" w:space="0" w:color="BFBFBF"/>
            </w:tcBorders>
            <w:shd w:val="clear" w:color="000000" w:fill="FFFFFF"/>
            <w:noWrap/>
            <w:vAlign w:val="center"/>
            <w:hideMark/>
          </w:tcPr>
          <w:p w14:paraId="041B6A4F"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FFFFF"/>
            <w:noWrap/>
            <w:vAlign w:val="center"/>
            <w:hideMark/>
          </w:tcPr>
          <w:p w14:paraId="2ACA0F06"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24AF271B"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6E7C0D0C" w14:textId="77777777" w:rsidR="001B24BA" w:rsidRPr="001B24BA" w:rsidRDefault="001B24BA" w:rsidP="001B24BA">
            <w:pPr>
              <w:jc w:val="center"/>
              <w:rPr>
                <w:rFonts w:cs="Calibri"/>
                <w:color w:val="000000"/>
                <w:sz w:val="24"/>
              </w:rPr>
            </w:pPr>
            <w:r w:rsidRPr="001B24BA">
              <w:rPr>
                <w:rFonts w:cs="Calibri"/>
                <w:color w:val="000000"/>
                <w:sz w:val="24"/>
              </w:rPr>
              <w:t>Yes</w:t>
            </w:r>
          </w:p>
        </w:tc>
      </w:tr>
      <w:tr w:rsidR="001B24BA" w:rsidRPr="001B24BA" w14:paraId="1A1CDE88"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2A2E529C" w14:textId="77777777" w:rsidR="001B24BA" w:rsidRPr="001B24BA" w:rsidRDefault="001B24BA" w:rsidP="00F270D3">
            <w:pPr>
              <w:ind w:left="71"/>
              <w:rPr>
                <w:rFonts w:cs="Calibri"/>
                <w:color w:val="000000"/>
                <w:sz w:val="24"/>
              </w:rPr>
            </w:pPr>
            <w:r w:rsidRPr="001B24BA">
              <w:rPr>
                <w:rFonts w:cs="Calibri"/>
                <w:color w:val="000000"/>
                <w:sz w:val="24"/>
              </w:rPr>
              <w:t>Focus on time, schedule, and resource allocation</w:t>
            </w:r>
          </w:p>
        </w:tc>
        <w:tc>
          <w:tcPr>
            <w:tcW w:w="1722" w:type="dxa"/>
            <w:tcBorders>
              <w:top w:val="nil"/>
              <w:left w:val="nil"/>
              <w:bottom w:val="single" w:sz="4" w:space="0" w:color="BFBFBF"/>
              <w:right w:val="single" w:sz="4" w:space="0" w:color="BFBFBF"/>
            </w:tcBorders>
            <w:shd w:val="clear" w:color="000000" w:fill="FFFFFF"/>
            <w:noWrap/>
            <w:vAlign w:val="center"/>
            <w:hideMark/>
          </w:tcPr>
          <w:p w14:paraId="4E23F4DA"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5475224A"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2CB15B95"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FFFFF"/>
            <w:noWrap/>
            <w:vAlign w:val="center"/>
            <w:hideMark/>
          </w:tcPr>
          <w:p w14:paraId="2B132FC8" w14:textId="77777777" w:rsidR="001B24BA" w:rsidRPr="001B24BA" w:rsidRDefault="001B24BA" w:rsidP="001B24BA">
            <w:pPr>
              <w:jc w:val="center"/>
              <w:rPr>
                <w:rFonts w:cs="Calibri"/>
                <w:color w:val="000000"/>
                <w:sz w:val="24"/>
              </w:rPr>
            </w:pPr>
            <w:r w:rsidRPr="001B24BA">
              <w:rPr>
                <w:rFonts w:cs="Calibri"/>
                <w:color w:val="000000"/>
                <w:sz w:val="24"/>
              </w:rPr>
              <w:t>Yes</w:t>
            </w:r>
          </w:p>
        </w:tc>
      </w:tr>
      <w:tr w:rsidR="001B24BA" w:rsidRPr="001B24BA" w14:paraId="6B8DD348"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6091B6D6" w14:textId="77777777" w:rsidR="001B24BA" w:rsidRPr="001B24BA" w:rsidRDefault="001B24BA" w:rsidP="00F270D3">
            <w:pPr>
              <w:ind w:left="71"/>
              <w:rPr>
                <w:rFonts w:cs="Calibri"/>
                <w:color w:val="000000"/>
                <w:sz w:val="24"/>
              </w:rPr>
            </w:pPr>
            <w:r w:rsidRPr="001B24BA">
              <w:rPr>
                <w:rFonts w:cs="Calibri"/>
                <w:color w:val="000000"/>
                <w:sz w:val="24"/>
              </w:rPr>
              <w:t>Understand task acceleration techniques like crashing</w:t>
            </w:r>
          </w:p>
        </w:tc>
        <w:tc>
          <w:tcPr>
            <w:tcW w:w="1722" w:type="dxa"/>
            <w:tcBorders>
              <w:top w:val="nil"/>
              <w:left w:val="nil"/>
              <w:bottom w:val="single" w:sz="4" w:space="0" w:color="BFBFBF"/>
              <w:right w:val="single" w:sz="4" w:space="0" w:color="BFBFBF"/>
            </w:tcBorders>
            <w:shd w:val="clear" w:color="000000" w:fill="FFFFFF"/>
            <w:noWrap/>
            <w:vAlign w:val="center"/>
            <w:hideMark/>
          </w:tcPr>
          <w:p w14:paraId="512008C2"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54FCCC39"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2F2F2"/>
            <w:noWrap/>
            <w:vAlign w:val="center"/>
            <w:hideMark/>
          </w:tcPr>
          <w:p w14:paraId="01338712"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30D16148" w14:textId="77777777" w:rsidR="001B24BA" w:rsidRPr="001B24BA" w:rsidRDefault="001B24BA" w:rsidP="001B24BA">
            <w:pPr>
              <w:jc w:val="center"/>
              <w:rPr>
                <w:rFonts w:cs="Calibri"/>
                <w:color w:val="000000"/>
                <w:sz w:val="24"/>
              </w:rPr>
            </w:pPr>
            <w:r w:rsidRPr="001B24BA">
              <w:rPr>
                <w:rFonts w:cs="Calibri"/>
                <w:color w:val="000000"/>
                <w:sz w:val="24"/>
              </w:rPr>
              <w:t>Yes</w:t>
            </w:r>
          </w:p>
        </w:tc>
      </w:tr>
      <w:tr w:rsidR="001B24BA" w:rsidRPr="001B24BA" w14:paraId="036815F3"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3AEF6B7A" w14:textId="77777777" w:rsidR="001B24BA" w:rsidRPr="001B24BA" w:rsidRDefault="001B24BA" w:rsidP="00F270D3">
            <w:pPr>
              <w:ind w:left="71"/>
              <w:rPr>
                <w:rFonts w:cs="Calibri"/>
                <w:color w:val="000000"/>
                <w:sz w:val="24"/>
              </w:rPr>
            </w:pPr>
            <w:r w:rsidRPr="001B24BA">
              <w:rPr>
                <w:rFonts w:cs="Calibri"/>
                <w:color w:val="000000"/>
                <w:sz w:val="24"/>
              </w:rPr>
              <w:t>Assess projects with variable and uncertain time frames</w:t>
            </w:r>
          </w:p>
        </w:tc>
        <w:tc>
          <w:tcPr>
            <w:tcW w:w="1722" w:type="dxa"/>
            <w:tcBorders>
              <w:top w:val="nil"/>
              <w:left w:val="nil"/>
              <w:bottom w:val="single" w:sz="4" w:space="0" w:color="BFBFBF"/>
              <w:right w:val="single" w:sz="4" w:space="0" w:color="BFBFBF"/>
            </w:tcBorders>
            <w:shd w:val="clear" w:color="000000" w:fill="F2F2F2"/>
            <w:noWrap/>
            <w:vAlign w:val="center"/>
            <w:hideMark/>
          </w:tcPr>
          <w:p w14:paraId="0DFB025D"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7196517F"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2EC15951"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4A8C4CB8" w14:textId="77777777" w:rsidR="001B24BA" w:rsidRPr="001B24BA" w:rsidRDefault="001B24BA" w:rsidP="001B24BA">
            <w:pPr>
              <w:jc w:val="center"/>
              <w:rPr>
                <w:rFonts w:cs="Calibri"/>
                <w:color w:val="000000"/>
                <w:sz w:val="24"/>
              </w:rPr>
            </w:pPr>
            <w:r w:rsidRPr="001B24BA">
              <w:rPr>
                <w:rFonts w:cs="Calibri"/>
                <w:color w:val="000000"/>
                <w:sz w:val="24"/>
              </w:rPr>
              <w:t>Yes</w:t>
            </w:r>
          </w:p>
        </w:tc>
      </w:tr>
      <w:tr w:rsidR="001B24BA" w:rsidRPr="001B24BA" w14:paraId="06945692"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4B1EBC5B" w14:textId="77777777" w:rsidR="001B24BA" w:rsidRPr="001B24BA" w:rsidRDefault="001B24BA" w:rsidP="00F270D3">
            <w:pPr>
              <w:ind w:left="71"/>
              <w:rPr>
                <w:rFonts w:cs="Calibri"/>
                <w:color w:val="000000"/>
                <w:sz w:val="24"/>
              </w:rPr>
            </w:pPr>
            <w:r w:rsidRPr="001B24BA">
              <w:rPr>
                <w:rFonts w:cs="Calibri"/>
                <w:color w:val="000000"/>
                <w:sz w:val="24"/>
              </w:rPr>
              <w:t>Accelerate project completion by identifying essential tasks</w:t>
            </w:r>
          </w:p>
        </w:tc>
        <w:tc>
          <w:tcPr>
            <w:tcW w:w="1722" w:type="dxa"/>
            <w:tcBorders>
              <w:top w:val="nil"/>
              <w:left w:val="nil"/>
              <w:bottom w:val="single" w:sz="4" w:space="0" w:color="BFBFBF"/>
              <w:right w:val="single" w:sz="4" w:space="0" w:color="BFBFBF"/>
            </w:tcBorders>
            <w:shd w:val="clear" w:color="000000" w:fill="FFFFFF"/>
            <w:noWrap/>
            <w:vAlign w:val="center"/>
            <w:hideMark/>
          </w:tcPr>
          <w:p w14:paraId="752CC7EC"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FFFFF"/>
            <w:noWrap/>
            <w:vAlign w:val="center"/>
            <w:hideMark/>
          </w:tcPr>
          <w:p w14:paraId="51FE92E8"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2E56B6F5"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4FB5A554" w14:textId="77777777" w:rsidR="001B24BA" w:rsidRPr="001B24BA" w:rsidRDefault="001B24BA" w:rsidP="001B24BA">
            <w:pPr>
              <w:jc w:val="center"/>
              <w:rPr>
                <w:rFonts w:cs="Calibri"/>
                <w:color w:val="000000"/>
                <w:sz w:val="24"/>
              </w:rPr>
            </w:pPr>
            <w:r w:rsidRPr="001B24BA">
              <w:rPr>
                <w:rFonts w:cs="Calibri"/>
                <w:color w:val="000000"/>
                <w:sz w:val="24"/>
              </w:rPr>
              <w:t>Yes</w:t>
            </w:r>
          </w:p>
        </w:tc>
      </w:tr>
      <w:tr w:rsidR="001B24BA" w:rsidRPr="001B24BA" w14:paraId="3C0563E4"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03C9C45B" w14:textId="77777777" w:rsidR="001B24BA" w:rsidRPr="001B24BA" w:rsidRDefault="001B24BA" w:rsidP="00F270D3">
            <w:pPr>
              <w:ind w:left="71"/>
              <w:rPr>
                <w:rFonts w:cs="Calibri"/>
                <w:color w:val="000000"/>
                <w:sz w:val="24"/>
              </w:rPr>
            </w:pPr>
            <w:r w:rsidRPr="001B24BA">
              <w:rPr>
                <w:rFonts w:cs="Calibri"/>
                <w:color w:val="000000"/>
                <w:sz w:val="24"/>
              </w:rPr>
              <w:t>Adjust the schedule when unforeseen challenges arise</w:t>
            </w:r>
          </w:p>
        </w:tc>
        <w:tc>
          <w:tcPr>
            <w:tcW w:w="1722" w:type="dxa"/>
            <w:tcBorders>
              <w:top w:val="nil"/>
              <w:left w:val="nil"/>
              <w:bottom w:val="single" w:sz="4" w:space="0" w:color="BFBFBF"/>
              <w:right w:val="single" w:sz="4" w:space="0" w:color="BFBFBF"/>
            </w:tcBorders>
            <w:shd w:val="clear" w:color="000000" w:fill="FFFFFF"/>
            <w:noWrap/>
            <w:vAlign w:val="center"/>
            <w:hideMark/>
          </w:tcPr>
          <w:p w14:paraId="6E7E9C11"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0A361D2F"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2F2F2"/>
            <w:noWrap/>
            <w:vAlign w:val="center"/>
            <w:hideMark/>
          </w:tcPr>
          <w:p w14:paraId="590A41DB"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798D47B8" w14:textId="77777777" w:rsidR="001B24BA" w:rsidRPr="001B24BA" w:rsidRDefault="001B24BA" w:rsidP="001B24BA">
            <w:pPr>
              <w:jc w:val="center"/>
              <w:rPr>
                <w:rFonts w:cs="Calibri"/>
                <w:color w:val="000000"/>
                <w:sz w:val="24"/>
              </w:rPr>
            </w:pPr>
            <w:r w:rsidRPr="001B24BA">
              <w:rPr>
                <w:rFonts w:cs="Calibri"/>
                <w:color w:val="000000"/>
                <w:sz w:val="24"/>
              </w:rPr>
              <w:t>Yes</w:t>
            </w:r>
          </w:p>
        </w:tc>
      </w:tr>
      <w:tr w:rsidR="001B24BA" w:rsidRPr="001B24BA" w14:paraId="07FE3044"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35D5FA05" w14:textId="77777777" w:rsidR="001B24BA" w:rsidRPr="001B24BA" w:rsidRDefault="001B24BA" w:rsidP="00F270D3">
            <w:pPr>
              <w:ind w:left="71"/>
              <w:rPr>
                <w:rFonts w:cs="Calibri"/>
                <w:color w:val="000000"/>
                <w:sz w:val="24"/>
              </w:rPr>
            </w:pPr>
            <w:r w:rsidRPr="001B24BA">
              <w:rPr>
                <w:rFonts w:cs="Calibri"/>
                <w:color w:val="000000"/>
                <w:sz w:val="24"/>
              </w:rPr>
              <w:t>Simplify project management for small projects</w:t>
            </w:r>
          </w:p>
        </w:tc>
        <w:tc>
          <w:tcPr>
            <w:tcW w:w="1722" w:type="dxa"/>
            <w:tcBorders>
              <w:top w:val="nil"/>
              <w:left w:val="nil"/>
              <w:bottom w:val="single" w:sz="4" w:space="0" w:color="BFBFBF"/>
              <w:right w:val="single" w:sz="4" w:space="0" w:color="BFBFBF"/>
            </w:tcBorders>
            <w:shd w:val="clear" w:color="000000" w:fill="F2F2F2"/>
            <w:noWrap/>
            <w:vAlign w:val="center"/>
            <w:hideMark/>
          </w:tcPr>
          <w:p w14:paraId="6CE563A3"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2F2F2"/>
            <w:noWrap/>
            <w:vAlign w:val="center"/>
            <w:hideMark/>
          </w:tcPr>
          <w:p w14:paraId="372C4B8B"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395AD98E"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6D58F00E" w14:textId="77777777" w:rsidR="001B24BA" w:rsidRPr="001B24BA" w:rsidRDefault="001B24BA" w:rsidP="001B24BA">
            <w:pPr>
              <w:jc w:val="center"/>
              <w:rPr>
                <w:rFonts w:cs="Calibri"/>
                <w:color w:val="000000"/>
                <w:sz w:val="24"/>
              </w:rPr>
            </w:pPr>
            <w:r w:rsidRPr="001B24BA">
              <w:rPr>
                <w:rFonts w:cs="Calibri"/>
                <w:color w:val="000000"/>
                <w:sz w:val="24"/>
              </w:rPr>
              <w:t>No</w:t>
            </w:r>
          </w:p>
        </w:tc>
      </w:tr>
      <w:tr w:rsidR="001B24BA" w:rsidRPr="001B24BA" w14:paraId="4DF9DFCA"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3D8E58D3" w14:textId="77777777" w:rsidR="001B24BA" w:rsidRPr="001B24BA" w:rsidRDefault="001B24BA" w:rsidP="00F270D3">
            <w:pPr>
              <w:ind w:left="71"/>
              <w:rPr>
                <w:rFonts w:cs="Calibri"/>
                <w:color w:val="000000"/>
                <w:sz w:val="24"/>
              </w:rPr>
            </w:pPr>
            <w:r w:rsidRPr="001B24BA">
              <w:rPr>
                <w:rFonts w:cs="Calibri"/>
                <w:color w:val="000000"/>
                <w:sz w:val="24"/>
              </w:rPr>
              <w:t>Avoid complexity and extensive data collection</w:t>
            </w:r>
          </w:p>
        </w:tc>
        <w:tc>
          <w:tcPr>
            <w:tcW w:w="1722" w:type="dxa"/>
            <w:tcBorders>
              <w:top w:val="nil"/>
              <w:left w:val="nil"/>
              <w:bottom w:val="single" w:sz="4" w:space="0" w:color="BFBFBF"/>
              <w:right w:val="single" w:sz="4" w:space="0" w:color="BFBFBF"/>
            </w:tcBorders>
            <w:shd w:val="clear" w:color="000000" w:fill="F2F2F2"/>
            <w:noWrap/>
            <w:vAlign w:val="center"/>
            <w:hideMark/>
          </w:tcPr>
          <w:p w14:paraId="18F2725E"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2F2F2"/>
            <w:noWrap/>
            <w:vAlign w:val="center"/>
            <w:hideMark/>
          </w:tcPr>
          <w:p w14:paraId="281A4037"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121E3D13"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2D19B322" w14:textId="77777777" w:rsidR="001B24BA" w:rsidRPr="001B24BA" w:rsidRDefault="001B24BA" w:rsidP="001B24BA">
            <w:pPr>
              <w:jc w:val="center"/>
              <w:rPr>
                <w:rFonts w:cs="Calibri"/>
                <w:color w:val="000000"/>
                <w:sz w:val="24"/>
              </w:rPr>
            </w:pPr>
            <w:r w:rsidRPr="001B24BA">
              <w:rPr>
                <w:rFonts w:cs="Calibri"/>
                <w:color w:val="000000"/>
                <w:sz w:val="24"/>
              </w:rPr>
              <w:t>No</w:t>
            </w:r>
          </w:p>
        </w:tc>
      </w:tr>
      <w:tr w:rsidR="001B24BA" w:rsidRPr="001B24BA" w14:paraId="57F80381"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060B2A51" w14:textId="77777777" w:rsidR="001B24BA" w:rsidRPr="001B24BA" w:rsidRDefault="001B24BA" w:rsidP="00F270D3">
            <w:pPr>
              <w:ind w:left="71"/>
              <w:rPr>
                <w:rFonts w:cs="Calibri"/>
                <w:color w:val="000000"/>
                <w:sz w:val="24"/>
              </w:rPr>
            </w:pPr>
            <w:r w:rsidRPr="001B24BA">
              <w:rPr>
                <w:rFonts w:cs="Calibri"/>
                <w:color w:val="000000"/>
                <w:sz w:val="24"/>
              </w:rPr>
              <w:t>Obtain a quick and easy-to-understand visualization</w:t>
            </w:r>
          </w:p>
        </w:tc>
        <w:tc>
          <w:tcPr>
            <w:tcW w:w="1722" w:type="dxa"/>
            <w:tcBorders>
              <w:top w:val="nil"/>
              <w:left w:val="nil"/>
              <w:bottom w:val="single" w:sz="4" w:space="0" w:color="BFBFBF"/>
              <w:right w:val="single" w:sz="4" w:space="0" w:color="BFBFBF"/>
            </w:tcBorders>
            <w:shd w:val="clear" w:color="000000" w:fill="F2F2F2"/>
            <w:noWrap/>
            <w:vAlign w:val="center"/>
            <w:hideMark/>
          </w:tcPr>
          <w:p w14:paraId="75632869"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2F2F2"/>
            <w:noWrap/>
            <w:vAlign w:val="center"/>
            <w:hideMark/>
          </w:tcPr>
          <w:p w14:paraId="78122CD1"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6C4E44AF"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11ADEA09" w14:textId="77777777" w:rsidR="001B24BA" w:rsidRPr="001B24BA" w:rsidRDefault="001B24BA" w:rsidP="001B24BA">
            <w:pPr>
              <w:jc w:val="center"/>
              <w:rPr>
                <w:rFonts w:cs="Calibri"/>
                <w:color w:val="000000"/>
                <w:sz w:val="24"/>
              </w:rPr>
            </w:pPr>
            <w:r w:rsidRPr="001B24BA">
              <w:rPr>
                <w:rFonts w:cs="Calibri"/>
                <w:color w:val="000000"/>
                <w:sz w:val="24"/>
              </w:rPr>
              <w:t>No</w:t>
            </w:r>
          </w:p>
        </w:tc>
      </w:tr>
      <w:tr w:rsidR="001B24BA" w:rsidRPr="001B24BA" w14:paraId="0E1A11BC" w14:textId="77777777" w:rsidTr="001B24BA">
        <w:trPr>
          <w:trHeight w:val="635"/>
        </w:trPr>
        <w:tc>
          <w:tcPr>
            <w:tcW w:w="7719" w:type="dxa"/>
            <w:tcBorders>
              <w:top w:val="nil"/>
              <w:left w:val="single" w:sz="4" w:space="0" w:color="BFBFBF"/>
              <w:bottom w:val="single" w:sz="4" w:space="0" w:color="BFBFBF"/>
              <w:right w:val="single" w:sz="4" w:space="0" w:color="BFBFBF"/>
            </w:tcBorders>
            <w:shd w:val="clear" w:color="auto" w:fill="auto"/>
            <w:vAlign w:val="center"/>
            <w:hideMark/>
          </w:tcPr>
          <w:p w14:paraId="60AB5A75" w14:textId="77777777" w:rsidR="001B24BA" w:rsidRPr="001B24BA" w:rsidRDefault="001B24BA" w:rsidP="00F270D3">
            <w:pPr>
              <w:ind w:left="71"/>
              <w:rPr>
                <w:rFonts w:cs="Calibri"/>
                <w:color w:val="000000"/>
                <w:sz w:val="24"/>
              </w:rPr>
            </w:pPr>
            <w:r w:rsidRPr="001B24BA">
              <w:rPr>
                <w:rFonts w:cs="Calibri"/>
                <w:color w:val="000000"/>
                <w:sz w:val="24"/>
              </w:rPr>
              <w:t>Focus solely on task durations and not on task dependencies</w:t>
            </w:r>
          </w:p>
        </w:tc>
        <w:tc>
          <w:tcPr>
            <w:tcW w:w="1722" w:type="dxa"/>
            <w:tcBorders>
              <w:top w:val="nil"/>
              <w:left w:val="nil"/>
              <w:bottom w:val="single" w:sz="4" w:space="0" w:color="BFBFBF"/>
              <w:right w:val="single" w:sz="4" w:space="0" w:color="BFBFBF"/>
            </w:tcBorders>
            <w:shd w:val="clear" w:color="000000" w:fill="F2F2F2"/>
            <w:noWrap/>
            <w:vAlign w:val="center"/>
            <w:hideMark/>
          </w:tcPr>
          <w:p w14:paraId="28BA183E"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2F2F2"/>
            <w:noWrap/>
            <w:vAlign w:val="center"/>
            <w:hideMark/>
          </w:tcPr>
          <w:p w14:paraId="0640BEEB" w14:textId="77777777" w:rsidR="001B24BA" w:rsidRPr="001B24BA" w:rsidRDefault="001B24BA" w:rsidP="001B24BA">
            <w:pPr>
              <w:jc w:val="center"/>
              <w:rPr>
                <w:rFonts w:cs="Calibri"/>
                <w:color w:val="000000"/>
                <w:sz w:val="24"/>
              </w:rPr>
            </w:pPr>
            <w:r w:rsidRPr="001B24BA">
              <w:rPr>
                <w:rFonts w:cs="Calibri"/>
                <w:color w:val="000000"/>
                <w:sz w:val="24"/>
              </w:rPr>
              <w:t>No</w:t>
            </w:r>
          </w:p>
        </w:tc>
        <w:tc>
          <w:tcPr>
            <w:tcW w:w="1722" w:type="dxa"/>
            <w:tcBorders>
              <w:top w:val="nil"/>
              <w:left w:val="nil"/>
              <w:bottom w:val="single" w:sz="4" w:space="0" w:color="BFBFBF"/>
              <w:right w:val="single" w:sz="4" w:space="0" w:color="BFBFBF"/>
            </w:tcBorders>
            <w:shd w:val="clear" w:color="000000" w:fill="FFFFFF"/>
            <w:noWrap/>
            <w:vAlign w:val="center"/>
            <w:hideMark/>
          </w:tcPr>
          <w:p w14:paraId="7CE90047" w14:textId="77777777" w:rsidR="001B24BA" w:rsidRPr="001B24BA" w:rsidRDefault="001B24BA" w:rsidP="001B24BA">
            <w:pPr>
              <w:jc w:val="center"/>
              <w:rPr>
                <w:rFonts w:cs="Calibri"/>
                <w:color w:val="000000"/>
                <w:sz w:val="24"/>
              </w:rPr>
            </w:pPr>
            <w:r w:rsidRPr="001B24BA">
              <w:rPr>
                <w:rFonts w:cs="Calibri"/>
                <w:color w:val="000000"/>
                <w:sz w:val="24"/>
              </w:rPr>
              <w:t>Yes</w:t>
            </w:r>
          </w:p>
        </w:tc>
        <w:tc>
          <w:tcPr>
            <w:tcW w:w="1722" w:type="dxa"/>
            <w:tcBorders>
              <w:top w:val="nil"/>
              <w:left w:val="nil"/>
              <w:bottom w:val="single" w:sz="4" w:space="0" w:color="BFBFBF"/>
              <w:right w:val="single" w:sz="4" w:space="0" w:color="BFBFBF"/>
            </w:tcBorders>
            <w:shd w:val="clear" w:color="000000" w:fill="F2F2F2"/>
            <w:noWrap/>
            <w:vAlign w:val="center"/>
            <w:hideMark/>
          </w:tcPr>
          <w:p w14:paraId="11BCABDE" w14:textId="77777777" w:rsidR="001B24BA" w:rsidRPr="001B24BA" w:rsidRDefault="001B24BA" w:rsidP="001B24BA">
            <w:pPr>
              <w:jc w:val="center"/>
              <w:rPr>
                <w:rFonts w:cs="Calibri"/>
                <w:color w:val="000000"/>
                <w:sz w:val="24"/>
              </w:rPr>
            </w:pPr>
            <w:r w:rsidRPr="001B24BA">
              <w:rPr>
                <w:rFonts w:cs="Calibri"/>
                <w:color w:val="000000"/>
                <w:sz w:val="24"/>
              </w:rPr>
              <w:t>No</w:t>
            </w:r>
          </w:p>
        </w:tc>
      </w:tr>
    </w:tbl>
    <w:p w14:paraId="4B99E19A" w14:textId="2A2546E8" w:rsidR="001B24BA" w:rsidRDefault="001B24BA" w:rsidP="001B24BA">
      <w:pPr>
        <w:pStyle w:val="Heading11"/>
        <w:spacing w:after="0" w:line="276" w:lineRule="auto"/>
        <w:rPr>
          <w:sz w:val="20"/>
          <w:szCs w:val="20"/>
        </w:rPr>
        <w:sectPr w:rsidR="001B24BA" w:rsidSect="001B24BA">
          <w:pgSz w:w="15840" w:h="12240" w:orient="landscape"/>
          <w:pgMar w:top="657" w:right="576" w:bottom="576" w:left="576" w:header="0" w:footer="0" w:gutter="0"/>
          <w:cols w:space="720"/>
          <w:docGrid w:linePitch="360"/>
        </w:sectPr>
      </w:pPr>
      <w:r w:rsidRPr="001B24BA">
        <w:rPr>
          <w:sz w:val="20"/>
          <w:szCs w:val="20"/>
        </w:rPr>
        <w:tab/>
      </w:r>
      <w:r w:rsidRPr="001B24BA">
        <w:rPr>
          <w:sz w:val="20"/>
          <w:szCs w:val="20"/>
        </w:rPr>
        <w:tab/>
      </w:r>
      <w:r w:rsidRPr="001B24BA">
        <w:rPr>
          <w:sz w:val="20"/>
          <w:szCs w:val="20"/>
        </w:rPr>
        <w:tab/>
      </w:r>
      <w:r w:rsidRPr="001B24BA">
        <w:rPr>
          <w:sz w:val="20"/>
          <w:szCs w:val="20"/>
        </w:rPr>
        <w:tab/>
      </w:r>
    </w:p>
    <w:p w14:paraId="4CA798BA" w14:textId="77777777" w:rsidR="00B5346C" w:rsidRDefault="00B5346C" w:rsidP="00D022DF">
      <w:pPr>
        <w:rPr>
          <w:b/>
          <w:color w:val="A6A6A6" w:themeColor="background1" w:themeShade="A6"/>
          <w:sz w:val="32"/>
          <w:szCs w:val="44"/>
        </w:rPr>
      </w:pPr>
    </w:p>
    <w:p w14:paraId="369BB194" w14:textId="77777777" w:rsidR="001B24BA" w:rsidRPr="00224734" w:rsidRDefault="001B24BA"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9706" w14:textId="77777777" w:rsidR="00885B74" w:rsidRDefault="00885B74" w:rsidP="006F67AE">
      <w:r>
        <w:separator/>
      </w:r>
    </w:p>
  </w:endnote>
  <w:endnote w:type="continuationSeparator" w:id="0">
    <w:p w14:paraId="2112EAE5" w14:textId="77777777" w:rsidR="00885B74" w:rsidRDefault="00885B74"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62B5" w14:textId="77777777" w:rsidR="00885B74" w:rsidRDefault="00885B74" w:rsidP="006F67AE">
      <w:r>
        <w:separator/>
      </w:r>
    </w:p>
  </w:footnote>
  <w:footnote w:type="continuationSeparator" w:id="0">
    <w:p w14:paraId="7AE4C2AD" w14:textId="77777777" w:rsidR="00885B74" w:rsidRDefault="00885B74"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130A41"/>
    <w:rsid w:val="001331F6"/>
    <w:rsid w:val="0014166F"/>
    <w:rsid w:val="00161DB2"/>
    <w:rsid w:val="001B24BA"/>
    <w:rsid w:val="001B3F80"/>
    <w:rsid w:val="001D6A5F"/>
    <w:rsid w:val="001E5DCD"/>
    <w:rsid w:val="00215D2E"/>
    <w:rsid w:val="00224734"/>
    <w:rsid w:val="0024438E"/>
    <w:rsid w:val="0024733A"/>
    <w:rsid w:val="00252DC3"/>
    <w:rsid w:val="002753C8"/>
    <w:rsid w:val="002762A1"/>
    <w:rsid w:val="00295511"/>
    <w:rsid w:val="00296C13"/>
    <w:rsid w:val="002A45FC"/>
    <w:rsid w:val="002C4FED"/>
    <w:rsid w:val="002E4407"/>
    <w:rsid w:val="002F2C0D"/>
    <w:rsid w:val="002F39CD"/>
    <w:rsid w:val="003221BC"/>
    <w:rsid w:val="00327A42"/>
    <w:rsid w:val="00364B26"/>
    <w:rsid w:val="0036595F"/>
    <w:rsid w:val="003758D7"/>
    <w:rsid w:val="00394B8A"/>
    <w:rsid w:val="003962B3"/>
    <w:rsid w:val="003D28EE"/>
    <w:rsid w:val="003F787D"/>
    <w:rsid w:val="00422668"/>
    <w:rsid w:val="004340AC"/>
    <w:rsid w:val="0045628D"/>
    <w:rsid w:val="00460C54"/>
    <w:rsid w:val="004707CA"/>
    <w:rsid w:val="00491FB9"/>
    <w:rsid w:val="00492BF1"/>
    <w:rsid w:val="004B2CF1"/>
    <w:rsid w:val="004B4C32"/>
    <w:rsid w:val="004D59AF"/>
    <w:rsid w:val="004D7DBC"/>
    <w:rsid w:val="004E7C78"/>
    <w:rsid w:val="0051641B"/>
    <w:rsid w:val="005236E0"/>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5F8B"/>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85B74"/>
    <w:rsid w:val="008F0F82"/>
    <w:rsid w:val="009152A8"/>
    <w:rsid w:val="009238F5"/>
    <w:rsid w:val="00925AA5"/>
    <w:rsid w:val="00942BD8"/>
    <w:rsid w:val="009515B9"/>
    <w:rsid w:val="00970ACE"/>
    <w:rsid w:val="009A343F"/>
    <w:rsid w:val="009A7597"/>
    <w:rsid w:val="009C2E35"/>
    <w:rsid w:val="009C4A98"/>
    <w:rsid w:val="009E71D3"/>
    <w:rsid w:val="009F0F9F"/>
    <w:rsid w:val="00A06691"/>
    <w:rsid w:val="00A12C16"/>
    <w:rsid w:val="00A144A5"/>
    <w:rsid w:val="00A2037C"/>
    <w:rsid w:val="00A83200"/>
    <w:rsid w:val="00A95536"/>
    <w:rsid w:val="00AE1A89"/>
    <w:rsid w:val="00AE7F9C"/>
    <w:rsid w:val="00AF40E2"/>
    <w:rsid w:val="00B3447C"/>
    <w:rsid w:val="00B50F7C"/>
    <w:rsid w:val="00B5346C"/>
    <w:rsid w:val="00B63774"/>
    <w:rsid w:val="00B8500C"/>
    <w:rsid w:val="00BC38F6"/>
    <w:rsid w:val="00BC7F9D"/>
    <w:rsid w:val="00BE7B8F"/>
    <w:rsid w:val="00C03834"/>
    <w:rsid w:val="00C12C0B"/>
    <w:rsid w:val="00C45576"/>
    <w:rsid w:val="00CA2CD6"/>
    <w:rsid w:val="00CB4DF0"/>
    <w:rsid w:val="00CB7FA5"/>
    <w:rsid w:val="00CD1CD9"/>
    <w:rsid w:val="00D022DF"/>
    <w:rsid w:val="00D141CC"/>
    <w:rsid w:val="00D43829"/>
    <w:rsid w:val="00D60EC5"/>
    <w:rsid w:val="00D660EC"/>
    <w:rsid w:val="00D82ADF"/>
    <w:rsid w:val="00DB1AE1"/>
    <w:rsid w:val="00DC6785"/>
    <w:rsid w:val="00E336BA"/>
    <w:rsid w:val="00E46E2D"/>
    <w:rsid w:val="00E62BF6"/>
    <w:rsid w:val="00E63F9A"/>
    <w:rsid w:val="00E95362"/>
    <w:rsid w:val="00E97308"/>
    <w:rsid w:val="00EB23F8"/>
    <w:rsid w:val="00EC50D2"/>
    <w:rsid w:val="00EE3ACD"/>
    <w:rsid w:val="00F270D3"/>
    <w:rsid w:val="00F75243"/>
    <w:rsid w:val="00F85E87"/>
    <w:rsid w:val="00FB4C7E"/>
    <w:rsid w:val="00FE57A0"/>
    <w:rsid w:val="00FF4D5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161DB2"/>
    <w:pPr>
      <w:tabs>
        <w:tab w:val="right" w:pos="11070"/>
      </w:tabs>
      <w:spacing w:after="120"/>
    </w:pPr>
    <w:rPr>
      <w:bCs/>
      <w:color w:val="413DA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8413909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05&amp;utm_source=template-word&amp;utm_medium=content&amp;utm_campaign=Gantt+Chart+PERT+CPM+Compatibility+Matrix-word-11905&amp;lpa=Gantt+Chart+PERT+CPM+Compatibility+Matrix+word+1190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2023-11-13T02:08:00Z</cp:lastPrinted>
  <dcterms:created xsi:type="dcterms:W3CDTF">2023-11-13T02:02:00Z</dcterms:created>
  <dcterms:modified xsi:type="dcterms:W3CDTF">2023-11-30T19:04:00Z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